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57D" w:rsidRPr="0012516D" w:rsidRDefault="000B06D6">
      <w:pPr>
        <w:rPr>
          <w:rFonts w:ascii="ＭＳ ゴシック" w:eastAsia="ＭＳ ゴシック" w:hAnsi="ＭＳ ゴシック"/>
        </w:rPr>
      </w:pPr>
      <w:r w:rsidRPr="0012516D">
        <w:rPr>
          <w:rFonts w:ascii="ＭＳ ゴシック" w:eastAsia="ＭＳ ゴシック" w:hAnsi="ＭＳ ゴシック"/>
        </w:rPr>
        <w:t>検討の観点と内容の特色</w:t>
      </w:r>
    </w:p>
    <w:tbl>
      <w:tblPr>
        <w:tblStyle w:val="a3"/>
        <w:tblW w:w="9776" w:type="dxa"/>
        <w:tblLook w:val="04A0" w:firstRow="1" w:lastRow="0" w:firstColumn="1" w:lastColumn="0" w:noHBand="0" w:noVBand="1"/>
      </w:tblPr>
      <w:tblGrid>
        <w:gridCol w:w="808"/>
        <w:gridCol w:w="2164"/>
        <w:gridCol w:w="709"/>
        <w:gridCol w:w="2268"/>
        <w:gridCol w:w="1563"/>
        <w:gridCol w:w="2264"/>
      </w:tblGrid>
      <w:tr w:rsidR="002452C2" w:rsidRPr="000B06D6" w:rsidTr="00CC0536">
        <w:tc>
          <w:tcPr>
            <w:tcW w:w="808" w:type="dxa"/>
          </w:tcPr>
          <w:p w:rsidR="002452C2" w:rsidRPr="000B06D6" w:rsidRDefault="002452C2" w:rsidP="00075DF2">
            <w:pPr>
              <w:jc w:val="center"/>
              <w:rPr>
                <w:rFonts w:ascii="ＭＳ 明朝" w:eastAsia="ＭＳ 明朝" w:hAnsi="ＭＳ 明朝"/>
              </w:rPr>
            </w:pPr>
            <w:r w:rsidRPr="00075DF2">
              <w:rPr>
                <w:rFonts w:ascii="ＭＳ 明朝" w:eastAsia="ＭＳ 明朝" w:hAnsi="ＭＳ 明朝" w:hint="eastAsia"/>
                <w:sz w:val="18"/>
              </w:rPr>
              <w:t>書名</w:t>
            </w:r>
          </w:p>
        </w:tc>
        <w:tc>
          <w:tcPr>
            <w:tcW w:w="2164" w:type="dxa"/>
          </w:tcPr>
          <w:p w:rsidR="002452C2" w:rsidRPr="00072565" w:rsidRDefault="00CC0536">
            <w:pPr>
              <w:rPr>
                <w:rFonts w:ascii="ＭＳ ゴシック" w:eastAsia="ＭＳ ゴシック" w:hAnsi="ＭＳ ゴシック"/>
              </w:rPr>
            </w:pPr>
            <w:r>
              <w:rPr>
                <w:rFonts w:ascii="ＭＳ ゴシック" w:eastAsia="ＭＳ ゴシック" w:hAnsi="ＭＳ ゴシック" w:hint="eastAsia"/>
              </w:rPr>
              <w:t xml:space="preserve">改訂 </w:t>
            </w:r>
            <w:r w:rsidR="00075DF2" w:rsidRPr="00075DF2">
              <w:rPr>
                <w:rFonts w:ascii="ＭＳ ゴシック" w:eastAsia="ＭＳ ゴシック" w:hAnsi="ＭＳ ゴシック" w:hint="eastAsia"/>
              </w:rPr>
              <w:t>新編化学基礎</w:t>
            </w:r>
          </w:p>
        </w:tc>
        <w:tc>
          <w:tcPr>
            <w:tcW w:w="709" w:type="dxa"/>
          </w:tcPr>
          <w:p w:rsidR="002452C2" w:rsidRPr="000B06D6" w:rsidRDefault="002452C2" w:rsidP="00075DF2">
            <w:pPr>
              <w:jc w:val="center"/>
              <w:rPr>
                <w:rFonts w:ascii="ＭＳ 明朝" w:eastAsia="ＭＳ 明朝" w:hAnsi="ＭＳ 明朝"/>
              </w:rPr>
            </w:pPr>
            <w:r w:rsidRPr="00075DF2">
              <w:rPr>
                <w:rFonts w:ascii="ＭＳ 明朝" w:eastAsia="ＭＳ 明朝" w:hAnsi="ＭＳ 明朝"/>
                <w:sz w:val="18"/>
              </w:rPr>
              <w:t>教番</w:t>
            </w:r>
          </w:p>
        </w:tc>
        <w:tc>
          <w:tcPr>
            <w:tcW w:w="2268" w:type="dxa"/>
          </w:tcPr>
          <w:p w:rsidR="002452C2" w:rsidRPr="0012516D" w:rsidRDefault="00075DF2">
            <w:pPr>
              <w:rPr>
                <w:rFonts w:ascii="ＭＳ ゴシック" w:eastAsia="ＭＳ ゴシック" w:hAnsi="ＭＳ ゴシック"/>
              </w:rPr>
            </w:pPr>
            <w:r w:rsidRPr="0012516D">
              <w:rPr>
                <w:rFonts w:ascii="ＭＳ ゴシック" w:eastAsia="ＭＳ ゴシック" w:hAnsi="ＭＳ ゴシック"/>
              </w:rPr>
              <w:t>2 東書・化基</w:t>
            </w:r>
            <w:r w:rsidR="00CC0536">
              <w:rPr>
                <w:rFonts w:ascii="ＭＳ ゴシック" w:eastAsia="ＭＳ ゴシック" w:hAnsi="ＭＳ ゴシック" w:hint="eastAsia"/>
              </w:rPr>
              <w:t>002-</w:t>
            </w:r>
            <w:r w:rsidR="00557FDF">
              <w:rPr>
                <w:rFonts w:ascii="ＭＳ ゴシック" w:eastAsia="ＭＳ ゴシック" w:hAnsi="ＭＳ ゴシック"/>
              </w:rPr>
              <w:t>9</w:t>
            </w:r>
            <w:bookmarkStart w:id="0" w:name="_GoBack"/>
            <w:bookmarkEnd w:id="0"/>
            <w:r w:rsidRPr="0012516D">
              <w:rPr>
                <w:rFonts w:ascii="ＭＳ ゴシック" w:eastAsia="ＭＳ ゴシック" w:hAnsi="ＭＳ ゴシック"/>
              </w:rPr>
              <w:t>02</w:t>
            </w:r>
          </w:p>
        </w:tc>
        <w:tc>
          <w:tcPr>
            <w:tcW w:w="1563" w:type="dxa"/>
          </w:tcPr>
          <w:p w:rsidR="002452C2" w:rsidRPr="00075DF2" w:rsidRDefault="002452C2" w:rsidP="00075DF2">
            <w:pPr>
              <w:jc w:val="center"/>
              <w:rPr>
                <w:rFonts w:ascii="ＭＳ 明朝" w:eastAsia="ＭＳ 明朝" w:hAnsi="ＭＳ 明朝"/>
                <w:sz w:val="18"/>
              </w:rPr>
            </w:pPr>
            <w:r w:rsidRPr="00075DF2">
              <w:rPr>
                <w:rFonts w:ascii="ＭＳ 明朝" w:eastAsia="ＭＳ 明朝" w:hAnsi="ＭＳ 明朝"/>
                <w:sz w:val="18"/>
              </w:rPr>
              <w:t>判型・ページ数</w:t>
            </w:r>
          </w:p>
        </w:tc>
        <w:tc>
          <w:tcPr>
            <w:tcW w:w="2264" w:type="dxa"/>
          </w:tcPr>
          <w:p w:rsidR="002452C2" w:rsidRPr="0012516D" w:rsidRDefault="00075DF2" w:rsidP="009A0D71">
            <w:pPr>
              <w:rPr>
                <w:rFonts w:ascii="ＭＳ ゴシック" w:eastAsia="ＭＳ ゴシック" w:hAnsi="ＭＳ ゴシック"/>
              </w:rPr>
            </w:pPr>
            <w:r w:rsidRPr="0012516D">
              <w:rPr>
                <w:rFonts w:ascii="ＭＳ ゴシック" w:eastAsia="ＭＳ ゴシック" w:hAnsi="ＭＳ ゴシック"/>
              </w:rPr>
              <w:t>B5判・</w:t>
            </w:r>
            <w:r w:rsidR="00CC0536">
              <w:rPr>
                <w:rFonts w:ascii="ＭＳ ゴシック" w:eastAsia="ＭＳ ゴシック" w:hAnsi="ＭＳ ゴシック"/>
              </w:rPr>
              <w:t>234</w:t>
            </w:r>
            <w:r w:rsidRPr="0012516D">
              <w:rPr>
                <w:rFonts w:ascii="ＭＳ ゴシック" w:eastAsia="ＭＳ ゴシック" w:hAnsi="ＭＳ ゴシック"/>
              </w:rPr>
              <w:t>ページ</w:t>
            </w:r>
          </w:p>
        </w:tc>
      </w:tr>
    </w:tbl>
    <w:p w:rsidR="0012516D" w:rsidRPr="00D85DE8" w:rsidRDefault="0012516D" w:rsidP="00075DF2">
      <w:pPr>
        <w:tabs>
          <w:tab w:val="left" w:pos="875"/>
          <w:tab w:val="left" w:pos="3552"/>
        </w:tabs>
        <w:ind w:left="113"/>
        <w:jc w:val="left"/>
        <w:rPr>
          <w:rFonts w:ascii="ＭＳ ゴシック" w:eastAsia="ＭＳ ゴシック" w:hAnsi="ＭＳ ゴシック"/>
          <w:sz w:val="18"/>
          <w:szCs w:val="18"/>
        </w:rPr>
      </w:pPr>
      <w:r w:rsidRPr="00D85DE8">
        <w:rPr>
          <w:rFonts w:ascii="ＭＳ ゴシック" w:eastAsia="ＭＳ ゴシック" w:hAnsi="ＭＳ ゴシック" w:hint="eastAsia"/>
          <w:sz w:val="18"/>
          <w:szCs w:val="18"/>
        </w:rPr>
        <w:tab/>
      </w:r>
      <w:r w:rsidRPr="00D85DE8">
        <w:rPr>
          <w:rFonts w:ascii="ＭＳ ゴシック" w:eastAsia="ＭＳ ゴシック" w:hAnsi="ＭＳ ゴシック"/>
          <w:sz w:val="18"/>
          <w:szCs w:val="18"/>
        </w:rPr>
        <w:tab/>
      </w:r>
    </w:p>
    <w:tbl>
      <w:tblPr>
        <w:tblStyle w:val="a3"/>
        <w:tblW w:w="9776" w:type="dxa"/>
        <w:tblLook w:val="04A0" w:firstRow="1" w:lastRow="0" w:firstColumn="1" w:lastColumn="0" w:noHBand="0" w:noVBand="1"/>
      </w:tblPr>
      <w:tblGrid>
        <w:gridCol w:w="762"/>
        <w:gridCol w:w="2677"/>
        <w:gridCol w:w="6337"/>
      </w:tblGrid>
      <w:tr w:rsidR="000B06D6" w:rsidRPr="000B06D6" w:rsidTr="00647D27">
        <w:tc>
          <w:tcPr>
            <w:tcW w:w="704" w:type="dxa"/>
          </w:tcPr>
          <w:p w:rsidR="000B06D6" w:rsidRPr="00D85DE8" w:rsidRDefault="000B06D6" w:rsidP="009C2CEA">
            <w:pPr>
              <w:jc w:val="center"/>
              <w:rPr>
                <w:rFonts w:ascii="ＭＳ ゴシック" w:eastAsia="ＭＳ ゴシック" w:hAnsi="ＭＳ ゴシック"/>
                <w:sz w:val="18"/>
                <w:szCs w:val="18"/>
              </w:rPr>
            </w:pPr>
            <w:r w:rsidRPr="00D85DE8">
              <w:rPr>
                <w:rFonts w:ascii="ＭＳ ゴシック" w:eastAsia="ＭＳ ゴシック" w:hAnsi="ＭＳ ゴシック" w:hint="eastAsia"/>
                <w:sz w:val="18"/>
                <w:szCs w:val="18"/>
              </w:rPr>
              <w:t>項目</w:t>
            </w:r>
          </w:p>
        </w:tc>
        <w:tc>
          <w:tcPr>
            <w:tcW w:w="2693" w:type="dxa"/>
          </w:tcPr>
          <w:p w:rsidR="000B06D6" w:rsidRPr="00D85DE8" w:rsidRDefault="001A0481" w:rsidP="00075DF2">
            <w:pPr>
              <w:jc w:val="center"/>
              <w:rPr>
                <w:rFonts w:ascii="ＭＳ ゴシック" w:eastAsia="ＭＳ ゴシック" w:hAnsi="ＭＳ ゴシック"/>
                <w:sz w:val="18"/>
                <w:szCs w:val="18"/>
              </w:rPr>
            </w:pPr>
            <w:r>
              <w:rPr>
                <w:rFonts w:ascii="ＭＳ ゴシック" w:eastAsia="ＭＳ ゴシック" w:hAnsi="ＭＳ ゴシック"/>
                <w:sz w:val="18"/>
                <w:szCs w:val="18"/>
              </w:rPr>
              <w:t>観</w:t>
            </w:r>
            <w:r w:rsidR="000B06D6" w:rsidRPr="00D85DE8">
              <w:rPr>
                <w:rFonts w:ascii="ＭＳ ゴシック" w:eastAsia="ＭＳ ゴシック" w:hAnsi="ＭＳ ゴシック"/>
                <w:sz w:val="18"/>
                <w:szCs w:val="18"/>
              </w:rPr>
              <w:t>点</w:t>
            </w:r>
          </w:p>
        </w:tc>
        <w:tc>
          <w:tcPr>
            <w:tcW w:w="6379" w:type="dxa"/>
          </w:tcPr>
          <w:p w:rsidR="000B06D6" w:rsidRPr="00D85DE8" w:rsidRDefault="00D85DE8" w:rsidP="00075DF2">
            <w:pPr>
              <w:jc w:val="center"/>
              <w:rPr>
                <w:rFonts w:ascii="ＭＳ ゴシック" w:eastAsia="ＭＳ ゴシック" w:hAnsi="ＭＳ ゴシック"/>
                <w:sz w:val="18"/>
                <w:szCs w:val="18"/>
              </w:rPr>
            </w:pPr>
            <w:r w:rsidRPr="00D85DE8">
              <w:rPr>
                <w:rFonts w:ascii="ＭＳ ゴシック" w:eastAsia="ＭＳ ゴシック" w:hAnsi="ＭＳ ゴシック" w:hint="eastAsia"/>
                <w:sz w:val="18"/>
                <w:szCs w:val="18"/>
              </w:rPr>
              <w:t>内容の特色</w:t>
            </w:r>
          </w:p>
        </w:tc>
      </w:tr>
      <w:tr w:rsidR="000B06D6" w:rsidRPr="000B06D6" w:rsidTr="00647D27">
        <w:trPr>
          <w:cantSplit/>
          <w:trHeight w:val="1134"/>
        </w:trPr>
        <w:tc>
          <w:tcPr>
            <w:tcW w:w="704" w:type="dxa"/>
            <w:textDirection w:val="tbRlV"/>
          </w:tcPr>
          <w:p w:rsidR="000B06D6" w:rsidRPr="009A0D71" w:rsidRDefault="000B06D6" w:rsidP="00C96E8A">
            <w:pPr>
              <w:spacing w:beforeLines="50" w:before="180"/>
              <w:ind w:left="113" w:right="113"/>
              <w:jc w:val="center"/>
              <w:rPr>
                <w:rFonts w:ascii="ＭＳ ゴシック" w:eastAsia="ＭＳ ゴシック" w:hAnsi="ＭＳ ゴシック"/>
                <w:sz w:val="18"/>
                <w:szCs w:val="16"/>
              </w:rPr>
            </w:pPr>
            <w:r w:rsidRPr="009A0D71">
              <w:rPr>
                <w:rFonts w:ascii="ＭＳ ゴシック" w:eastAsia="ＭＳ ゴシック" w:hAnsi="ＭＳ ゴシック" w:hint="eastAsia"/>
                <w:sz w:val="18"/>
                <w:szCs w:val="16"/>
              </w:rPr>
              <w:t>内容の選択・程度</w:t>
            </w:r>
          </w:p>
        </w:tc>
        <w:tc>
          <w:tcPr>
            <w:tcW w:w="2693" w:type="dxa"/>
          </w:tcPr>
          <w:p w:rsidR="00075DF2" w:rsidRPr="009C2CEA" w:rsidRDefault="009C2CEA" w:rsidP="00647D27">
            <w:pPr>
              <w:spacing w:line="0" w:lineRule="atLeast"/>
              <w:ind w:left="160" w:hangingChars="100" w:hanging="160"/>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w:t>
            </w:r>
            <w:r w:rsidR="00075DF2" w:rsidRPr="009C2CEA">
              <w:rPr>
                <w:rFonts w:ascii="ＭＳ 明朝" w:eastAsia="ＭＳ 明朝" w:hAnsi="ＭＳ 明朝" w:cs="ＭＳ ゴシック" w:hint="eastAsia"/>
                <w:sz w:val="16"/>
                <w:szCs w:val="16"/>
              </w:rPr>
              <w:t>学習指導要領の教科の目標を達成するため必要な教材が適切に用意されているか。</w:t>
            </w:r>
          </w:p>
          <w:p w:rsidR="00647D27" w:rsidRDefault="009C2CEA" w:rsidP="00075DF2">
            <w:pPr>
              <w:spacing w:line="0" w:lineRule="atLeast"/>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w:t>
            </w:r>
            <w:r w:rsidR="00075DF2" w:rsidRPr="009C2CEA">
              <w:rPr>
                <w:rFonts w:ascii="ＭＳ 明朝" w:eastAsia="ＭＳ 明朝" w:hAnsi="ＭＳ 明朝" w:cs="ＭＳ ゴシック" w:hint="eastAsia"/>
                <w:sz w:val="16"/>
                <w:szCs w:val="16"/>
              </w:rPr>
              <w:t>基礎的・基本的な知識・技能の理</w:t>
            </w:r>
          </w:p>
          <w:p w:rsidR="00647D27" w:rsidRDefault="00075DF2" w:rsidP="00647D27">
            <w:pPr>
              <w:spacing w:line="0" w:lineRule="atLeast"/>
              <w:ind w:firstLineChars="100" w:firstLine="160"/>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解や習得のための適切な配慮が</w:t>
            </w:r>
          </w:p>
          <w:p w:rsidR="00075DF2" w:rsidRPr="009C2CEA" w:rsidRDefault="00075DF2" w:rsidP="00647D27">
            <w:pPr>
              <w:spacing w:line="0" w:lineRule="atLeast"/>
              <w:ind w:firstLineChars="100" w:firstLine="160"/>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なされているか。</w:t>
            </w:r>
          </w:p>
          <w:p w:rsidR="00647D27" w:rsidRDefault="009C2CEA" w:rsidP="00075DF2">
            <w:pPr>
              <w:spacing w:line="0" w:lineRule="atLeast"/>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w:t>
            </w:r>
            <w:r w:rsidR="00075DF2" w:rsidRPr="009C2CEA">
              <w:rPr>
                <w:rFonts w:ascii="ＭＳ 明朝" w:eastAsia="ＭＳ 明朝" w:hAnsi="ＭＳ 明朝" w:cs="ＭＳ ゴシック" w:hint="eastAsia"/>
                <w:sz w:val="16"/>
                <w:szCs w:val="16"/>
              </w:rPr>
              <w:t>観察</w:t>
            </w:r>
            <w:r w:rsidR="00D15551">
              <w:rPr>
                <w:rFonts w:ascii="ＭＳ 明朝" w:eastAsia="ＭＳ 明朝" w:hAnsi="ＭＳ 明朝" w:cs="ＭＳ ゴシック" w:hint="eastAsia"/>
                <w:sz w:val="16"/>
                <w:szCs w:val="16"/>
              </w:rPr>
              <w:t>、</w:t>
            </w:r>
            <w:r w:rsidR="00075DF2" w:rsidRPr="009C2CEA">
              <w:rPr>
                <w:rFonts w:ascii="ＭＳ 明朝" w:eastAsia="ＭＳ 明朝" w:hAnsi="ＭＳ 明朝" w:cs="ＭＳ ゴシック" w:hint="eastAsia"/>
                <w:sz w:val="16"/>
                <w:szCs w:val="16"/>
              </w:rPr>
              <w:t>実験などを行い</w:t>
            </w:r>
            <w:r w:rsidR="00D15551">
              <w:rPr>
                <w:rFonts w:ascii="ＭＳ 明朝" w:eastAsia="ＭＳ 明朝" w:hAnsi="ＭＳ 明朝" w:cs="ＭＳ ゴシック" w:hint="eastAsia"/>
                <w:sz w:val="16"/>
                <w:szCs w:val="16"/>
              </w:rPr>
              <w:t>、</w:t>
            </w:r>
            <w:r w:rsidR="00075DF2" w:rsidRPr="009C2CEA">
              <w:rPr>
                <w:rFonts w:ascii="ＭＳ 明朝" w:eastAsia="ＭＳ 明朝" w:hAnsi="ＭＳ 明朝" w:cs="ＭＳ ゴシック" w:hint="eastAsia"/>
                <w:sz w:val="16"/>
                <w:szCs w:val="16"/>
              </w:rPr>
              <w:t>科学的に</w:t>
            </w:r>
          </w:p>
          <w:p w:rsidR="00647D27" w:rsidRDefault="00075DF2" w:rsidP="009C2CEA">
            <w:pPr>
              <w:spacing w:line="0" w:lineRule="atLeast"/>
              <w:ind w:firstLineChars="100" w:firstLine="160"/>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探究する力を育成するための適</w:t>
            </w:r>
          </w:p>
          <w:p w:rsidR="00075DF2" w:rsidRPr="009C2CEA" w:rsidRDefault="00075DF2" w:rsidP="00647D27">
            <w:pPr>
              <w:spacing w:line="0" w:lineRule="atLeast"/>
              <w:ind w:firstLineChars="100" w:firstLine="160"/>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切な配慮がなされているか。</w:t>
            </w:r>
          </w:p>
          <w:p w:rsidR="00647D27" w:rsidRDefault="009C2CEA" w:rsidP="00075DF2">
            <w:pPr>
              <w:spacing w:line="0" w:lineRule="atLeast"/>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w:t>
            </w:r>
            <w:r w:rsidR="00075DF2" w:rsidRPr="009C2CEA">
              <w:rPr>
                <w:rFonts w:ascii="ＭＳ 明朝" w:eastAsia="ＭＳ 明朝" w:hAnsi="ＭＳ 明朝" w:cs="ＭＳ ゴシック" w:hint="eastAsia"/>
                <w:sz w:val="16"/>
                <w:szCs w:val="16"/>
              </w:rPr>
              <w:t>「主体的・対話的で深い学び」が</w:t>
            </w:r>
          </w:p>
          <w:p w:rsidR="00647D27" w:rsidRDefault="00075DF2" w:rsidP="00647D27">
            <w:pPr>
              <w:spacing w:line="0" w:lineRule="atLeast"/>
              <w:ind w:firstLineChars="100" w:firstLine="160"/>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実現できるよう編集されている</w:t>
            </w:r>
          </w:p>
          <w:p w:rsidR="00075DF2" w:rsidRPr="009C2CEA" w:rsidRDefault="00075DF2" w:rsidP="00647D27">
            <w:pPr>
              <w:spacing w:line="0" w:lineRule="atLeast"/>
              <w:ind w:firstLineChars="100" w:firstLine="160"/>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か。</w:t>
            </w:r>
          </w:p>
          <w:p w:rsidR="00647D27" w:rsidRDefault="009C2CEA" w:rsidP="00075DF2">
            <w:pPr>
              <w:spacing w:line="0" w:lineRule="atLeast"/>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w:t>
            </w:r>
            <w:r w:rsidR="00075DF2" w:rsidRPr="009C2CEA">
              <w:rPr>
                <w:rFonts w:ascii="ＭＳ 明朝" w:eastAsia="ＭＳ 明朝" w:hAnsi="ＭＳ 明朝" w:cs="ＭＳ ゴシック" w:hint="eastAsia"/>
                <w:sz w:val="16"/>
                <w:szCs w:val="16"/>
              </w:rPr>
              <w:t>発展的な内容の取り扱いに対す</w:t>
            </w:r>
          </w:p>
          <w:p w:rsidR="00647D27" w:rsidRDefault="00075DF2" w:rsidP="00647D27">
            <w:pPr>
              <w:spacing w:line="0" w:lineRule="atLeast"/>
              <w:ind w:firstLineChars="100" w:firstLine="160"/>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る適切な配慮がなされている</w:t>
            </w:r>
          </w:p>
          <w:p w:rsidR="000B06D6" w:rsidRPr="00647D27" w:rsidRDefault="00075DF2" w:rsidP="00647D27">
            <w:pPr>
              <w:spacing w:line="0" w:lineRule="atLeast"/>
              <w:ind w:firstLineChars="100" w:firstLine="160"/>
              <w:rPr>
                <w:rFonts w:ascii="ＭＳ 明朝" w:eastAsia="ＭＳ 明朝" w:hAnsi="ＭＳ 明朝" w:cs="ＭＳ ゴシック"/>
                <w:sz w:val="16"/>
                <w:szCs w:val="16"/>
              </w:rPr>
            </w:pPr>
            <w:r w:rsidRPr="009C2CEA">
              <w:rPr>
                <w:rFonts w:ascii="ＭＳ 明朝" w:eastAsia="ＭＳ 明朝" w:hAnsi="ＭＳ 明朝" w:cs="ＭＳ ゴシック" w:hint="eastAsia"/>
                <w:sz w:val="16"/>
                <w:szCs w:val="16"/>
              </w:rPr>
              <w:t>か。</w:t>
            </w:r>
          </w:p>
        </w:tc>
        <w:tc>
          <w:tcPr>
            <w:tcW w:w="6379" w:type="dxa"/>
          </w:tcPr>
          <w:p w:rsidR="00075DF2" w:rsidRPr="00D15551" w:rsidRDefault="009C2CEA" w:rsidP="00647D27">
            <w:pPr>
              <w:spacing w:line="0" w:lineRule="atLeast"/>
              <w:ind w:left="160" w:hangingChars="100" w:hanging="160"/>
              <w:rPr>
                <w:rFonts w:ascii="ＭＳ 明朝" w:eastAsia="ＭＳ 明朝" w:hAnsi="ＭＳ 明朝" w:cs="ＭＳ ゴシック"/>
                <w:sz w:val="16"/>
                <w:szCs w:val="16"/>
              </w:rPr>
            </w:pPr>
            <w:r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高等学校理科学習指導要領の「目標」「内容」及び「内容の取扱い」に示された事項のすべてについて不足なく取り上げている。</w:t>
            </w:r>
          </w:p>
          <w:p w:rsidR="00075DF2" w:rsidRPr="00D15551" w:rsidRDefault="009C2CEA" w:rsidP="00647D27">
            <w:pPr>
              <w:spacing w:line="0" w:lineRule="atLeast"/>
              <w:ind w:left="160" w:hangingChars="100" w:hanging="160"/>
              <w:rPr>
                <w:rFonts w:ascii="ＭＳ 明朝" w:eastAsia="ＭＳ 明朝" w:hAnsi="ＭＳ 明朝" w:cs="ＭＳ ゴシック"/>
                <w:sz w:val="16"/>
                <w:szCs w:val="16"/>
              </w:rPr>
            </w:pPr>
            <w:r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各学習項目の</w:t>
            </w:r>
            <w:r w:rsidR="00D15551">
              <w:rPr>
                <w:rFonts w:ascii="ＭＳ 明朝" w:eastAsia="ＭＳ 明朝" w:hAnsi="ＭＳ 明朝" w:cs="ＭＳ ゴシック" w:hint="eastAsia"/>
                <w:sz w:val="16"/>
                <w:szCs w:val="16"/>
              </w:rPr>
              <w:t>最後（節末）</w:t>
            </w:r>
            <w:r w:rsidR="00075DF2" w:rsidRPr="00D15551">
              <w:rPr>
                <w:rFonts w:ascii="ＭＳ 明朝" w:eastAsia="ＭＳ 明朝" w:hAnsi="ＭＳ 明朝" w:cs="ＭＳ ゴシック" w:hint="eastAsia"/>
                <w:sz w:val="16"/>
                <w:szCs w:val="16"/>
              </w:rPr>
              <w:t>に</w:t>
            </w:r>
            <w:r w:rsid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「この節のポイント」が設けられており</w:t>
            </w:r>
            <w:r w:rsidR="00D15551"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学習内容の要点を押さえることができるように工夫されている。</w:t>
            </w:r>
          </w:p>
          <w:p w:rsidR="00075DF2" w:rsidRPr="00D15551" w:rsidRDefault="009C2CEA" w:rsidP="00647D27">
            <w:pPr>
              <w:spacing w:line="0" w:lineRule="atLeast"/>
              <w:ind w:left="160" w:hangingChars="100" w:hanging="160"/>
              <w:rPr>
                <w:rFonts w:ascii="ＭＳ 明朝" w:eastAsia="ＭＳ 明朝" w:hAnsi="ＭＳ 明朝" w:cs="ＭＳ ゴシック"/>
                <w:sz w:val="16"/>
                <w:szCs w:val="16"/>
              </w:rPr>
            </w:pPr>
            <w:r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各章末に「まとめ」（用語とその意味の確認）と「章末確認問題」が配置されており</w:t>
            </w:r>
            <w:r w:rsidR="00D15551"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基本的な学習内容の定着が図られるように工夫されている。</w:t>
            </w:r>
          </w:p>
          <w:p w:rsidR="00075DF2" w:rsidRPr="00D15551" w:rsidRDefault="009C2CEA" w:rsidP="00647D27">
            <w:pPr>
              <w:spacing w:line="0" w:lineRule="atLeast"/>
              <w:ind w:left="160" w:hangingChars="100" w:hanging="160"/>
              <w:rPr>
                <w:rFonts w:ascii="ＭＳ 明朝" w:eastAsia="ＭＳ 明朝" w:hAnsi="ＭＳ 明朝" w:cs="ＭＳ ゴシック"/>
                <w:sz w:val="16"/>
                <w:szCs w:val="16"/>
              </w:rPr>
            </w:pPr>
            <w:r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探究の過程に沿った構成で</w:t>
            </w:r>
            <w:r w:rsidR="00D15551"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適切な箇所に「実験」を設定し</w:t>
            </w:r>
            <w:r w:rsidR="00D15551"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生徒自らが課題を見いだして</w:t>
            </w:r>
            <w:r w:rsidR="00D15551"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探究的に学習が進められるように工夫されている。安全にも配慮されている。</w:t>
            </w:r>
          </w:p>
          <w:p w:rsidR="00075DF2" w:rsidRPr="00D15551" w:rsidRDefault="009C2CEA" w:rsidP="00647D27">
            <w:pPr>
              <w:spacing w:line="0" w:lineRule="atLeast"/>
              <w:ind w:left="160" w:hangingChars="100" w:hanging="160"/>
              <w:rPr>
                <w:rFonts w:ascii="ＭＳ 明朝" w:eastAsia="ＭＳ 明朝" w:hAnsi="ＭＳ 明朝" w:cs="ＭＳ ゴシック"/>
                <w:sz w:val="16"/>
                <w:szCs w:val="16"/>
              </w:rPr>
            </w:pPr>
            <w:r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「実験」では</w:t>
            </w:r>
            <w:r w:rsidR="00D15551"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考察への適切なアプローチがあり</w:t>
            </w:r>
            <w:r w:rsidR="00D15551"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生徒自らが結果を分析</w:t>
            </w:r>
            <w:r w:rsidR="00D15551"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解釈してまとめ</w:t>
            </w:r>
            <w:r w:rsidR="00D15551"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科学的に探究する力を育成できるように工夫されている。</w:t>
            </w:r>
          </w:p>
          <w:p w:rsidR="00075DF2" w:rsidRPr="00D15551" w:rsidRDefault="009C2CEA" w:rsidP="00647D27">
            <w:pPr>
              <w:spacing w:line="0" w:lineRule="atLeast"/>
              <w:ind w:left="160" w:hangingChars="100" w:hanging="160"/>
              <w:rPr>
                <w:rFonts w:ascii="ＭＳ 明朝" w:eastAsia="ＭＳ 明朝" w:hAnsi="ＭＳ 明朝" w:cs="ＭＳ ゴシック"/>
                <w:sz w:val="16"/>
                <w:szCs w:val="16"/>
              </w:rPr>
            </w:pPr>
            <w:r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「実験」とは別に短時間でできる実験として「</w:t>
            </w:r>
            <w:r w:rsidR="00CC0536" w:rsidRPr="00D15551">
              <w:rPr>
                <w:rFonts w:ascii="ＭＳ 明朝" w:eastAsia="ＭＳ 明朝" w:hAnsi="ＭＳ 明朝" w:cs="ＭＳ ゴシック" w:hint="eastAsia"/>
                <w:sz w:val="16"/>
                <w:szCs w:val="16"/>
              </w:rPr>
              <w:t>ちょこ</w:t>
            </w:r>
            <w:r w:rsidR="00075DF2" w:rsidRPr="00D15551">
              <w:rPr>
                <w:rFonts w:ascii="ＭＳ 明朝" w:eastAsia="ＭＳ 明朝" w:hAnsi="ＭＳ 明朝" w:cs="ＭＳ ゴシック" w:hint="eastAsia"/>
                <w:sz w:val="16"/>
                <w:szCs w:val="16"/>
              </w:rPr>
              <w:t>ラボ</w:t>
            </w:r>
            <w:r w:rsidR="00CC0536" w:rsidRPr="00D15551">
              <w:rPr>
                <w:rFonts w:ascii="ＭＳ 明朝" w:eastAsia="ＭＳ 明朝" w:hAnsi="ＭＳ 明朝" w:cs="ＭＳ ゴシック" w:hint="eastAsia"/>
                <w:sz w:val="16"/>
                <w:szCs w:val="16"/>
              </w:rPr>
              <w:t>」が</w:t>
            </w:r>
            <w:r w:rsidR="00075DF2" w:rsidRPr="00D15551">
              <w:rPr>
                <w:rFonts w:ascii="ＭＳ 明朝" w:eastAsia="ＭＳ 明朝" w:hAnsi="ＭＳ 明朝" w:cs="ＭＳ ゴシック" w:hint="eastAsia"/>
                <w:sz w:val="16"/>
                <w:szCs w:val="16"/>
              </w:rPr>
              <w:t>あり</w:t>
            </w:r>
            <w:r w:rsidR="00D15551"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取捨選択しながら授業が進められるよう</w:t>
            </w:r>
            <w:r w:rsidR="00D15551">
              <w:rPr>
                <w:rFonts w:ascii="ＭＳ 明朝" w:eastAsia="ＭＳ 明朝" w:hAnsi="ＭＳ 明朝" w:cs="ＭＳ ゴシック" w:hint="eastAsia"/>
                <w:sz w:val="16"/>
                <w:szCs w:val="16"/>
              </w:rPr>
              <w:t>に工夫</w:t>
            </w:r>
            <w:r w:rsidR="00075DF2" w:rsidRPr="00D15551">
              <w:rPr>
                <w:rFonts w:ascii="ＭＳ 明朝" w:eastAsia="ＭＳ 明朝" w:hAnsi="ＭＳ 明朝" w:cs="ＭＳ ゴシック" w:hint="eastAsia"/>
                <w:sz w:val="16"/>
                <w:szCs w:val="16"/>
              </w:rPr>
              <w:t>されている。</w:t>
            </w:r>
          </w:p>
          <w:p w:rsidR="00075DF2" w:rsidRPr="00D15551" w:rsidRDefault="009C2CEA" w:rsidP="00647D27">
            <w:pPr>
              <w:spacing w:line="0" w:lineRule="atLeast"/>
              <w:ind w:left="160" w:hangingChars="100" w:hanging="160"/>
              <w:rPr>
                <w:rFonts w:ascii="ＭＳ 明朝" w:eastAsia="ＭＳ 明朝" w:hAnsi="ＭＳ 明朝" w:cs="ＭＳ ゴシック"/>
                <w:sz w:val="16"/>
                <w:szCs w:val="16"/>
              </w:rPr>
            </w:pPr>
            <w:r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編末には生徒自身が主体となって活動できるような「探究</w:t>
            </w:r>
            <w:r w:rsidR="00075DF2" w:rsidRPr="00D15551">
              <w:rPr>
                <w:rFonts w:ascii="ＭＳ 明朝" w:eastAsia="ＭＳ 明朝" w:hAnsi="ＭＳ 明朝" w:cs="ＭＳ ゴシック"/>
                <w:sz w:val="16"/>
                <w:szCs w:val="16"/>
              </w:rPr>
              <w:t>PLUS」</w:t>
            </w:r>
            <w:r w:rsidR="00D15551" w:rsidRPr="00D15551">
              <w:rPr>
                <w:rFonts w:ascii="ＭＳ 明朝" w:eastAsia="ＭＳ 明朝" w:hAnsi="ＭＳ 明朝" w:cs="ＭＳ ゴシック"/>
                <w:sz w:val="16"/>
                <w:szCs w:val="16"/>
              </w:rPr>
              <w:t>、</w:t>
            </w:r>
            <w:r w:rsidR="00075DF2" w:rsidRPr="00D15551">
              <w:rPr>
                <w:rFonts w:ascii="ＭＳ 明朝" w:eastAsia="ＭＳ 明朝" w:hAnsi="ＭＳ 明朝" w:cs="ＭＳ ゴシック"/>
                <w:sz w:val="16"/>
                <w:szCs w:val="16"/>
              </w:rPr>
              <w:t>巻末には「おうちラボ」があり</w:t>
            </w:r>
            <w:r w:rsidR="00D15551" w:rsidRPr="00D15551">
              <w:rPr>
                <w:rFonts w:ascii="ＭＳ 明朝" w:eastAsia="ＭＳ 明朝" w:hAnsi="ＭＳ 明朝" w:cs="ＭＳ ゴシック"/>
                <w:sz w:val="16"/>
                <w:szCs w:val="16"/>
              </w:rPr>
              <w:t>、</w:t>
            </w:r>
            <w:r w:rsidR="00D15551">
              <w:rPr>
                <w:rFonts w:ascii="ＭＳ 明朝" w:eastAsia="ＭＳ 明朝" w:hAnsi="ＭＳ 明朝" w:cs="ＭＳ ゴシック" w:hint="eastAsia"/>
                <w:sz w:val="16"/>
                <w:szCs w:val="16"/>
              </w:rPr>
              <w:t>生徒の思考力と興味を高められるように工夫</w:t>
            </w:r>
            <w:r w:rsidR="00075DF2" w:rsidRPr="00D15551">
              <w:rPr>
                <w:rFonts w:ascii="ＭＳ 明朝" w:eastAsia="ＭＳ 明朝" w:hAnsi="ＭＳ 明朝" w:cs="ＭＳ ゴシック" w:hint="eastAsia"/>
                <w:sz w:val="16"/>
                <w:szCs w:val="16"/>
              </w:rPr>
              <w:t>されている。</w:t>
            </w:r>
          </w:p>
          <w:p w:rsidR="00075DF2" w:rsidRPr="00D15551" w:rsidRDefault="009C2CEA" w:rsidP="00647D27">
            <w:pPr>
              <w:spacing w:line="0" w:lineRule="atLeast"/>
              <w:ind w:left="160" w:hangingChars="100" w:hanging="160"/>
              <w:rPr>
                <w:rFonts w:ascii="ＭＳ 明朝" w:eastAsia="ＭＳ 明朝" w:hAnsi="ＭＳ 明朝" w:cs="ＭＳ ゴシック"/>
                <w:sz w:val="16"/>
                <w:szCs w:val="16"/>
              </w:rPr>
            </w:pPr>
            <w:r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すべての節の冒頭に「</w:t>
            </w:r>
            <w:r w:rsidR="00075DF2" w:rsidRPr="00D15551">
              <w:rPr>
                <w:rFonts w:ascii="ＭＳ 明朝" w:eastAsia="ＭＳ 明朝" w:hAnsi="ＭＳ 明朝" w:cs="ＭＳ ゴシック"/>
                <w:sz w:val="16"/>
                <w:szCs w:val="16"/>
              </w:rPr>
              <w:t>Let’s start！」が配置されており</w:t>
            </w:r>
            <w:r w:rsidR="00D15551" w:rsidRPr="00D15551">
              <w:rPr>
                <w:rFonts w:ascii="ＭＳ 明朝" w:eastAsia="ＭＳ 明朝" w:hAnsi="ＭＳ 明朝" w:cs="ＭＳ ゴシック"/>
                <w:sz w:val="16"/>
                <w:szCs w:val="16"/>
              </w:rPr>
              <w:t>、</w:t>
            </w:r>
            <w:r w:rsidR="00075DF2" w:rsidRPr="00D15551">
              <w:rPr>
                <w:rFonts w:ascii="ＭＳ 明朝" w:eastAsia="ＭＳ 明朝" w:hAnsi="ＭＳ 明朝" w:cs="ＭＳ ゴシック"/>
                <w:sz w:val="16"/>
                <w:szCs w:val="16"/>
              </w:rPr>
              <w:t>身近な自然や日常生活とのつながりを実感</w:t>
            </w:r>
            <w:r w:rsidR="00075DF2" w:rsidRPr="00D15551">
              <w:rPr>
                <w:rFonts w:ascii="ＭＳ 明朝" w:eastAsia="ＭＳ 明朝" w:hAnsi="ＭＳ 明朝" w:cs="ＭＳ ゴシック" w:hint="eastAsia"/>
                <w:sz w:val="16"/>
                <w:szCs w:val="16"/>
              </w:rPr>
              <w:t>できる内容から導入し</w:t>
            </w:r>
            <w:r w:rsidR="00D15551"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学習への意欲を喚起できるように工夫されている。</w:t>
            </w:r>
          </w:p>
          <w:p w:rsidR="00075DF2" w:rsidRPr="00D15551" w:rsidRDefault="009C2CEA" w:rsidP="00647D27">
            <w:pPr>
              <w:spacing w:line="0" w:lineRule="atLeast"/>
              <w:ind w:left="160" w:hangingChars="100" w:hanging="160"/>
              <w:rPr>
                <w:rFonts w:ascii="ＭＳ 明朝" w:eastAsia="ＭＳ 明朝" w:hAnsi="ＭＳ 明朝" w:cs="ＭＳ ゴシック"/>
                <w:sz w:val="16"/>
                <w:szCs w:val="16"/>
              </w:rPr>
            </w:pPr>
            <w:r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随所にキャラクターが登場して気づきや思考を促すヒントを示し</w:t>
            </w:r>
            <w:r w:rsidR="00D15551"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生徒の主体的・対話的な探究活動をサポートする配慮がなされている。</w:t>
            </w:r>
          </w:p>
          <w:p w:rsidR="000B06D6" w:rsidRPr="009C2CEA" w:rsidRDefault="009C2CEA" w:rsidP="00647D27">
            <w:pPr>
              <w:spacing w:line="0" w:lineRule="atLeast"/>
              <w:ind w:left="160" w:hangingChars="100" w:hanging="160"/>
              <w:rPr>
                <w:rFonts w:ascii="ＭＳ 明朝" w:eastAsia="ＭＳ 明朝" w:hAnsi="ＭＳ 明朝" w:cs="ＭＳ ゴシック"/>
                <w:sz w:val="16"/>
                <w:szCs w:val="16"/>
              </w:rPr>
            </w:pPr>
            <w:r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学習を深めたい箇所には「発展的な学習内容」があり</w:t>
            </w:r>
            <w:r w:rsidR="00D15551"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ゴシック" w:hint="eastAsia"/>
                <w:sz w:val="16"/>
                <w:szCs w:val="16"/>
              </w:rPr>
              <w:t>実態に応じた指導ができるようになっている。</w:t>
            </w:r>
          </w:p>
        </w:tc>
      </w:tr>
      <w:tr w:rsidR="000B06D6" w:rsidRPr="000B06D6" w:rsidTr="00647D27">
        <w:trPr>
          <w:cantSplit/>
          <w:trHeight w:val="1134"/>
        </w:trPr>
        <w:tc>
          <w:tcPr>
            <w:tcW w:w="704" w:type="dxa"/>
            <w:textDirection w:val="tbRlV"/>
          </w:tcPr>
          <w:p w:rsidR="000B06D6" w:rsidRPr="009A0D71" w:rsidRDefault="000B06D6" w:rsidP="00C96E8A">
            <w:pPr>
              <w:spacing w:beforeLines="50" w:before="180"/>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組織・配列・分量</w:t>
            </w:r>
          </w:p>
        </w:tc>
        <w:tc>
          <w:tcPr>
            <w:tcW w:w="2693" w:type="dxa"/>
          </w:tcPr>
          <w:p w:rsidR="00647D27" w:rsidRDefault="009C2CEA" w:rsidP="009C2CEA">
            <w:pPr>
              <w:spacing w:line="0" w:lineRule="atLeast"/>
              <w:rPr>
                <w:rFonts w:ascii="ＭＳ 明朝" w:eastAsia="ＭＳ 明朝" w:hAnsi="ＭＳ 明朝" w:cs="ＭＳ 明朝"/>
                <w:sz w:val="16"/>
                <w:szCs w:val="16"/>
              </w:rPr>
            </w:pPr>
            <w:r>
              <w:rPr>
                <w:rFonts w:ascii="ＭＳ ゴシック" w:eastAsia="ＭＳ ゴシック" w:hAnsi="ＭＳ ゴシック" w:cs="ＭＳ ゴシック" w:hint="eastAsia"/>
                <w:sz w:val="16"/>
                <w:szCs w:val="16"/>
              </w:rPr>
              <w:t>・</w:t>
            </w:r>
            <w:r w:rsidR="00075DF2" w:rsidRPr="00075DF2">
              <w:rPr>
                <w:rFonts w:ascii="ＭＳ 明朝" w:eastAsia="ＭＳ 明朝" w:hAnsi="ＭＳ 明朝" w:cs="ＭＳ 明朝" w:hint="eastAsia"/>
                <w:sz w:val="16"/>
                <w:szCs w:val="16"/>
              </w:rPr>
              <w:t>内容の組織・配列は</w:t>
            </w:r>
            <w:r w:rsidR="00D15551">
              <w:rPr>
                <w:rFonts w:ascii="ＭＳ 明朝" w:eastAsia="ＭＳ 明朝" w:hAnsi="ＭＳ 明朝" w:cs="ＭＳ 明朝" w:hint="eastAsia"/>
                <w:sz w:val="16"/>
                <w:szCs w:val="16"/>
              </w:rPr>
              <w:t>、</w:t>
            </w:r>
            <w:r w:rsidR="00075DF2" w:rsidRPr="00075DF2">
              <w:rPr>
                <w:rFonts w:ascii="ＭＳ 明朝" w:eastAsia="ＭＳ 明朝" w:hAnsi="ＭＳ 明朝" w:cs="ＭＳ 明朝" w:hint="eastAsia"/>
                <w:sz w:val="16"/>
                <w:szCs w:val="16"/>
              </w:rPr>
              <w:t>学習指導を</w:t>
            </w:r>
          </w:p>
          <w:p w:rsidR="00647D27" w:rsidRDefault="00075DF2" w:rsidP="00075DF2">
            <w:pPr>
              <w:spacing w:line="0" w:lineRule="atLeast"/>
              <w:ind w:firstLineChars="100" w:firstLine="160"/>
              <w:rPr>
                <w:rFonts w:ascii="ＭＳ 明朝" w:eastAsia="ＭＳ 明朝" w:hAnsi="ＭＳ 明朝"/>
                <w:sz w:val="16"/>
                <w:szCs w:val="16"/>
              </w:rPr>
            </w:pPr>
            <w:r w:rsidRPr="00075DF2">
              <w:rPr>
                <w:rFonts w:ascii="ＭＳ 明朝" w:eastAsia="ＭＳ 明朝" w:hAnsi="ＭＳ 明朝" w:cs="ＭＳ 明朝" w:hint="eastAsia"/>
                <w:sz w:val="16"/>
                <w:szCs w:val="16"/>
              </w:rPr>
              <w:t>有効に進</w:t>
            </w:r>
            <w:r w:rsidRPr="00075DF2">
              <w:rPr>
                <w:rFonts w:ascii="ＭＳ 明朝" w:eastAsia="ＭＳ 明朝" w:hAnsi="ＭＳ 明朝" w:hint="eastAsia"/>
                <w:sz w:val="16"/>
                <w:szCs w:val="16"/>
              </w:rPr>
              <w:t>められるように考慮さ</w:t>
            </w:r>
          </w:p>
          <w:p w:rsidR="00075DF2" w:rsidRPr="00075DF2" w:rsidRDefault="00075DF2" w:rsidP="00647D27">
            <w:pPr>
              <w:spacing w:line="0" w:lineRule="atLeast"/>
              <w:ind w:firstLineChars="100" w:firstLine="160"/>
              <w:rPr>
                <w:rFonts w:ascii="ＭＳ 明朝" w:eastAsia="ＭＳ 明朝" w:hAnsi="ＭＳ 明朝"/>
                <w:sz w:val="16"/>
                <w:szCs w:val="16"/>
              </w:rPr>
            </w:pPr>
            <w:r w:rsidRPr="00075DF2">
              <w:rPr>
                <w:rFonts w:ascii="ＭＳ 明朝" w:eastAsia="ＭＳ 明朝" w:hAnsi="ＭＳ 明朝" w:hint="eastAsia"/>
                <w:sz w:val="16"/>
                <w:szCs w:val="16"/>
              </w:rPr>
              <w:t>れているか。</w:t>
            </w:r>
          </w:p>
          <w:p w:rsidR="00647D27" w:rsidRDefault="009C2CEA" w:rsidP="009C2CE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分量は学習指導を有効に進めら</w:t>
            </w:r>
          </w:p>
          <w:p w:rsidR="00647D27" w:rsidRDefault="00075DF2" w:rsidP="00075DF2">
            <w:pPr>
              <w:spacing w:line="0" w:lineRule="atLeast"/>
              <w:ind w:firstLineChars="100" w:firstLine="160"/>
              <w:rPr>
                <w:rFonts w:ascii="ＭＳ 明朝" w:eastAsia="ＭＳ 明朝" w:hAnsi="ＭＳ 明朝"/>
                <w:sz w:val="16"/>
                <w:szCs w:val="16"/>
              </w:rPr>
            </w:pPr>
            <w:r w:rsidRPr="00075DF2">
              <w:rPr>
                <w:rFonts w:ascii="ＭＳ 明朝" w:eastAsia="ＭＳ 明朝" w:hAnsi="ＭＳ 明朝" w:cs="ＭＳ 明朝" w:hint="eastAsia"/>
                <w:sz w:val="16"/>
                <w:szCs w:val="16"/>
              </w:rPr>
              <w:t>れるように</w:t>
            </w:r>
            <w:r w:rsidRPr="00075DF2">
              <w:rPr>
                <w:rFonts w:ascii="ＭＳ 明朝" w:eastAsia="ＭＳ 明朝" w:hAnsi="ＭＳ 明朝" w:hint="eastAsia"/>
                <w:sz w:val="16"/>
                <w:szCs w:val="16"/>
              </w:rPr>
              <w:t>考慮され</w:t>
            </w:r>
            <w:r w:rsidR="00D15551">
              <w:rPr>
                <w:rFonts w:ascii="ＭＳ 明朝" w:eastAsia="ＭＳ 明朝" w:hAnsi="ＭＳ 明朝" w:hint="eastAsia"/>
                <w:sz w:val="16"/>
                <w:szCs w:val="16"/>
              </w:rPr>
              <w:t>、</w:t>
            </w:r>
            <w:r w:rsidRPr="00075DF2">
              <w:rPr>
                <w:rFonts w:ascii="ＭＳ 明朝" w:eastAsia="ＭＳ 明朝" w:hAnsi="ＭＳ 明朝" w:hint="eastAsia"/>
                <w:sz w:val="16"/>
                <w:szCs w:val="16"/>
              </w:rPr>
              <w:t>精選され</w:t>
            </w:r>
          </w:p>
          <w:p w:rsidR="00075DF2" w:rsidRPr="00075DF2" w:rsidRDefault="00075DF2" w:rsidP="00075DF2">
            <w:pPr>
              <w:spacing w:line="0" w:lineRule="atLeast"/>
              <w:ind w:firstLineChars="100" w:firstLine="160"/>
              <w:rPr>
                <w:rFonts w:ascii="ＭＳ 明朝" w:eastAsia="ＭＳ 明朝" w:hAnsi="ＭＳ 明朝"/>
                <w:sz w:val="16"/>
                <w:szCs w:val="16"/>
              </w:rPr>
            </w:pPr>
            <w:r w:rsidRPr="00075DF2">
              <w:rPr>
                <w:rFonts w:ascii="ＭＳ 明朝" w:eastAsia="ＭＳ 明朝" w:hAnsi="ＭＳ 明朝" w:hint="eastAsia"/>
                <w:sz w:val="16"/>
                <w:szCs w:val="16"/>
              </w:rPr>
              <w:t>ているか。</w:t>
            </w:r>
          </w:p>
          <w:p w:rsidR="00647D27" w:rsidRDefault="009C2CEA" w:rsidP="009C2CE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中学校との接続や他科目との関</w:t>
            </w:r>
          </w:p>
          <w:p w:rsidR="00647D27" w:rsidRDefault="00075DF2" w:rsidP="00075DF2">
            <w:pPr>
              <w:spacing w:line="0" w:lineRule="atLeast"/>
              <w:ind w:firstLineChars="100" w:firstLine="160"/>
              <w:rPr>
                <w:rFonts w:ascii="ＭＳ 明朝" w:eastAsia="ＭＳ 明朝" w:hAnsi="ＭＳ 明朝"/>
                <w:sz w:val="16"/>
                <w:szCs w:val="16"/>
              </w:rPr>
            </w:pPr>
            <w:r w:rsidRPr="00075DF2">
              <w:rPr>
                <w:rFonts w:ascii="ＭＳ 明朝" w:eastAsia="ＭＳ 明朝" w:hAnsi="ＭＳ 明朝" w:cs="ＭＳ 明朝" w:hint="eastAsia"/>
                <w:sz w:val="16"/>
                <w:szCs w:val="16"/>
              </w:rPr>
              <w:t>連など</w:t>
            </w:r>
            <w:r w:rsidR="00D15551">
              <w:rPr>
                <w:rFonts w:ascii="ＭＳ 明朝" w:eastAsia="ＭＳ 明朝" w:hAnsi="ＭＳ 明朝" w:cs="ＭＳ 明朝" w:hint="eastAsia"/>
                <w:sz w:val="16"/>
                <w:szCs w:val="16"/>
              </w:rPr>
              <w:t>、</w:t>
            </w:r>
            <w:r w:rsidRPr="00075DF2">
              <w:rPr>
                <w:rFonts w:ascii="ＭＳ 明朝" w:eastAsia="ＭＳ 明朝" w:hAnsi="ＭＳ 明朝" w:cs="ＭＳ 明朝" w:hint="eastAsia"/>
                <w:sz w:val="16"/>
                <w:szCs w:val="16"/>
              </w:rPr>
              <w:t>カ</w:t>
            </w:r>
            <w:r w:rsidRPr="00075DF2">
              <w:rPr>
                <w:rFonts w:ascii="ＭＳ 明朝" w:eastAsia="ＭＳ 明朝" w:hAnsi="ＭＳ 明朝" w:hint="eastAsia"/>
                <w:sz w:val="16"/>
                <w:szCs w:val="16"/>
              </w:rPr>
              <w:t>リキュラム・マネジメ</w:t>
            </w:r>
          </w:p>
          <w:p w:rsidR="00647D27" w:rsidRDefault="00075DF2" w:rsidP="009C2CEA">
            <w:pPr>
              <w:spacing w:line="0" w:lineRule="atLeast"/>
              <w:ind w:firstLineChars="100" w:firstLine="160"/>
              <w:rPr>
                <w:rFonts w:ascii="ＭＳ 明朝" w:eastAsia="ＭＳ 明朝" w:hAnsi="ＭＳ 明朝"/>
                <w:sz w:val="16"/>
                <w:szCs w:val="16"/>
              </w:rPr>
            </w:pPr>
            <w:r w:rsidRPr="00075DF2">
              <w:rPr>
                <w:rFonts w:ascii="ＭＳ 明朝" w:eastAsia="ＭＳ 明朝" w:hAnsi="ＭＳ 明朝" w:hint="eastAsia"/>
                <w:sz w:val="16"/>
                <w:szCs w:val="16"/>
              </w:rPr>
              <w:t>ントに対する配慮がなされてい</w:t>
            </w:r>
          </w:p>
          <w:p w:rsidR="00075DF2" w:rsidRPr="00075DF2" w:rsidRDefault="00075DF2" w:rsidP="009C2CEA">
            <w:pPr>
              <w:spacing w:line="0" w:lineRule="atLeast"/>
              <w:ind w:firstLineChars="100" w:firstLine="160"/>
              <w:rPr>
                <w:rFonts w:ascii="ＭＳ 明朝" w:eastAsia="ＭＳ 明朝" w:hAnsi="ＭＳ 明朝"/>
                <w:sz w:val="16"/>
                <w:szCs w:val="16"/>
              </w:rPr>
            </w:pPr>
            <w:r w:rsidRPr="00075DF2">
              <w:rPr>
                <w:rFonts w:ascii="ＭＳ 明朝" w:eastAsia="ＭＳ 明朝" w:hAnsi="ＭＳ 明朝" w:hint="eastAsia"/>
                <w:sz w:val="16"/>
                <w:szCs w:val="16"/>
              </w:rPr>
              <w:t>るか。</w:t>
            </w:r>
          </w:p>
          <w:p w:rsidR="000B06D6" w:rsidRPr="009A0D71" w:rsidRDefault="009C2CEA" w:rsidP="00647D27">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弾力的な取り扱いに対する配慮がなされて</w:t>
            </w:r>
            <w:r w:rsidR="00075DF2" w:rsidRPr="00075DF2">
              <w:rPr>
                <w:rFonts w:ascii="ＭＳ 明朝" w:eastAsia="ＭＳ 明朝" w:hAnsi="ＭＳ 明朝" w:hint="eastAsia"/>
                <w:sz w:val="16"/>
                <w:szCs w:val="16"/>
              </w:rPr>
              <w:t>いるか。</w:t>
            </w:r>
          </w:p>
        </w:tc>
        <w:tc>
          <w:tcPr>
            <w:tcW w:w="6379" w:type="dxa"/>
          </w:tcPr>
          <w:p w:rsidR="00075DF2" w:rsidRPr="00D15551" w:rsidRDefault="009C2CEA" w:rsidP="009C2CEA">
            <w:pPr>
              <w:spacing w:line="0" w:lineRule="atLeast"/>
              <w:rPr>
                <w:rFonts w:ascii="ＭＳ 明朝" w:eastAsia="ＭＳ 明朝" w:hAnsi="ＭＳ 明朝"/>
                <w:sz w:val="16"/>
                <w:szCs w:val="16"/>
              </w:rPr>
            </w:pPr>
            <w:r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明朝" w:hint="eastAsia"/>
                <w:sz w:val="16"/>
                <w:szCs w:val="16"/>
              </w:rPr>
              <w:t>本文は丁寧に記述され</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生徒自らが読み進め</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理解できるようになっている。</w:t>
            </w:r>
          </w:p>
          <w:p w:rsidR="00075DF2" w:rsidRPr="00D15551" w:rsidRDefault="009C2CEA" w:rsidP="00647D27">
            <w:pPr>
              <w:spacing w:line="0" w:lineRule="atLeast"/>
              <w:ind w:left="160" w:hangingChars="100" w:hanging="160"/>
              <w:rPr>
                <w:rFonts w:ascii="ＭＳ 明朝" w:eastAsia="ＭＳ 明朝" w:hAnsi="ＭＳ 明朝"/>
                <w:sz w:val="16"/>
                <w:szCs w:val="16"/>
              </w:rPr>
            </w:pPr>
            <w:r w:rsidRPr="00D15551">
              <w:rPr>
                <w:rFonts w:ascii="ＭＳ 明朝" w:eastAsia="ＭＳ 明朝" w:hAnsi="ＭＳ 明朝" w:cs="Malgun Gothic" w:hint="eastAsia"/>
                <w:sz w:val="16"/>
                <w:szCs w:val="16"/>
              </w:rPr>
              <w:t>・</w:t>
            </w:r>
            <w:r w:rsidR="00075DF2" w:rsidRPr="00D15551">
              <w:rPr>
                <w:rFonts w:ascii="ＭＳ 明朝" w:eastAsia="ＭＳ 明朝" w:hAnsi="ＭＳ 明朝" w:cs="ＭＳ 明朝" w:hint="eastAsia"/>
                <w:sz w:val="16"/>
                <w:szCs w:val="16"/>
              </w:rPr>
              <w:t>節の構成が</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w:t>
            </w:r>
            <w:r w:rsidR="00075DF2" w:rsidRPr="00D15551">
              <w:rPr>
                <w:rFonts w:ascii="ＭＳ 明朝" w:eastAsia="ＭＳ 明朝" w:hAnsi="ＭＳ 明朝"/>
                <w:sz w:val="16"/>
                <w:szCs w:val="16"/>
              </w:rPr>
              <w:t>Let’s start！」→「？」（学習の問い）→（「実験」）→本文→「！」（この節のポイント）」</w:t>
            </w:r>
            <w:r w:rsidR="00075DF2" w:rsidRPr="00D15551">
              <w:rPr>
                <w:rFonts w:ascii="ＭＳ 明朝" w:eastAsia="ＭＳ 明朝" w:hAnsi="ＭＳ 明朝" w:hint="eastAsia"/>
                <w:sz w:val="16"/>
                <w:szCs w:val="16"/>
              </w:rPr>
              <w:t>で構成されており</w:t>
            </w:r>
            <w:r w:rsidR="00D15551" w:rsidRPr="00D15551">
              <w:rPr>
                <w:rFonts w:ascii="ＭＳ 明朝" w:eastAsia="ＭＳ 明朝" w:hAnsi="ＭＳ 明朝" w:hint="eastAsia"/>
                <w:sz w:val="16"/>
                <w:szCs w:val="16"/>
              </w:rPr>
              <w:t>、</w:t>
            </w:r>
            <w:r w:rsidR="00075DF2" w:rsidRPr="00D15551">
              <w:rPr>
                <w:rFonts w:ascii="ＭＳ 明朝" w:eastAsia="ＭＳ 明朝" w:hAnsi="ＭＳ 明朝" w:hint="eastAsia"/>
                <w:sz w:val="16"/>
                <w:szCs w:val="16"/>
              </w:rPr>
              <w:t>生徒が主体的に課題を見いだして学習を進められるように工夫されている。</w:t>
            </w:r>
          </w:p>
          <w:p w:rsidR="00075DF2" w:rsidRPr="00D15551" w:rsidRDefault="009C2CEA" w:rsidP="00647D27">
            <w:pPr>
              <w:spacing w:line="0" w:lineRule="atLeast"/>
              <w:ind w:left="160" w:hangingChars="100" w:hanging="160"/>
              <w:rPr>
                <w:rFonts w:ascii="ＭＳ 明朝" w:eastAsia="ＭＳ 明朝" w:hAnsi="ＭＳ 明朝"/>
                <w:sz w:val="16"/>
                <w:szCs w:val="16"/>
              </w:rPr>
            </w:pPr>
            <w:r w:rsidRPr="00D15551">
              <w:rPr>
                <w:rFonts w:ascii="ＭＳ 明朝" w:eastAsia="ＭＳ 明朝" w:hAnsi="ＭＳ 明朝" w:cs="Malgun Gothic" w:hint="eastAsia"/>
                <w:sz w:val="16"/>
                <w:szCs w:val="16"/>
              </w:rPr>
              <w:t>・</w:t>
            </w:r>
            <w:r w:rsidR="00075DF2" w:rsidRPr="00D15551">
              <w:rPr>
                <w:rFonts w:ascii="ＭＳ 明朝" w:eastAsia="ＭＳ 明朝" w:hAnsi="ＭＳ 明朝" w:cs="ＭＳ 明朝" w:hint="eastAsia"/>
                <w:sz w:val="16"/>
                <w:szCs w:val="16"/>
              </w:rPr>
              <w:t>巻末資料には</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「観察実験を行う際の注意</w:t>
            </w:r>
            <w:r w:rsidR="00075DF2" w:rsidRPr="00D15551">
              <w:rPr>
                <w:rFonts w:ascii="ＭＳ 明朝" w:eastAsia="ＭＳ 明朝" w:hAnsi="ＭＳ 明朝" w:hint="eastAsia"/>
                <w:sz w:val="16"/>
                <w:szCs w:val="16"/>
              </w:rPr>
              <w:t>」「実験の基本操作」「報告書の作成」など</w:t>
            </w:r>
            <w:r w:rsidR="00D15551" w:rsidRPr="00D15551">
              <w:rPr>
                <w:rFonts w:ascii="ＭＳ 明朝" w:eastAsia="ＭＳ 明朝" w:hAnsi="ＭＳ 明朝" w:hint="eastAsia"/>
                <w:sz w:val="16"/>
                <w:szCs w:val="16"/>
              </w:rPr>
              <w:t>、</w:t>
            </w:r>
            <w:r w:rsidR="00075DF2" w:rsidRPr="00D15551">
              <w:rPr>
                <w:rFonts w:ascii="ＭＳ 明朝" w:eastAsia="ＭＳ 明朝" w:hAnsi="ＭＳ 明朝" w:hint="eastAsia"/>
                <w:sz w:val="16"/>
                <w:szCs w:val="16"/>
              </w:rPr>
              <w:t>学習を進めるにあたっての必要な情報が記載されている。</w:t>
            </w:r>
          </w:p>
          <w:p w:rsidR="00075DF2" w:rsidRPr="00D15551" w:rsidRDefault="009C2CEA" w:rsidP="009C2CEA">
            <w:pPr>
              <w:spacing w:line="0" w:lineRule="atLeast"/>
              <w:rPr>
                <w:rFonts w:ascii="ＭＳ 明朝" w:eastAsia="ＭＳ 明朝" w:hAnsi="ＭＳ 明朝"/>
                <w:sz w:val="16"/>
                <w:szCs w:val="16"/>
              </w:rPr>
            </w:pPr>
            <w:r w:rsidRPr="00D15551">
              <w:rPr>
                <w:rFonts w:ascii="ＭＳ 明朝" w:eastAsia="ＭＳ 明朝" w:hAnsi="ＭＳ 明朝" w:cs="Malgun Gothic" w:hint="eastAsia"/>
                <w:sz w:val="16"/>
                <w:szCs w:val="16"/>
              </w:rPr>
              <w:t>・</w:t>
            </w:r>
            <w:r w:rsidR="00075DF2" w:rsidRPr="00D15551">
              <w:rPr>
                <w:rFonts w:ascii="ＭＳ 明朝" w:eastAsia="ＭＳ 明朝" w:hAnsi="ＭＳ 明朝"/>
                <w:sz w:val="16"/>
                <w:szCs w:val="16"/>
              </w:rPr>
              <w:t>2</w:t>
            </w:r>
            <w:r w:rsidR="00CC0536" w:rsidRPr="00D15551">
              <w:rPr>
                <w:rFonts w:ascii="ＭＳ 明朝" w:eastAsia="ＭＳ 明朝" w:hAnsi="ＭＳ 明朝" w:hint="eastAsia"/>
                <w:sz w:val="16"/>
                <w:szCs w:val="16"/>
              </w:rPr>
              <w:t>2</w:t>
            </w:r>
            <w:r w:rsidR="00075DF2" w:rsidRPr="00D15551">
              <w:rPr>
                <w:rFonts w:ascii="ＭＳ 明朝" w:eastAsia="ＭＳ 明朝" w:hAnsi="ＭＳ 明朝"/>
                <w:sz w:val="16"/>
                <w:szCs w:val="16"/>
              </w:rPr>
              <w:t>節構成となっており</w:t>
            </w:r>
            <w:r w:rsidR="00D15551" w:rsidRPr="00D15551">
              <w:rPr>
                <w:rFonts w:ascii="ＭＳ 明朝" w:eastAsia="ＭＳ 明朝" w:hAnsi="ＭＳ 明朝"/>
                <w:sz w:val="16"/>
                <w:szCs w:val="16"/>
              </w:rPr>
              <w:t>、</w:t>
            </w:r>
            <w:r w:rsidR="00075DF2" w:rsidRPr="00D15551">
              <w:rPr>
                <w:rFonts w:ascii="ＭＳ 明朝" w:eastAsia="ＭＳ 明朝" w:hAnsi="ＭＳ 明朝"/>
                <w:sz w:val="16"/>
                <w:szCs w:val="16"/>
              </w:rPr>
              <w:t>全生徒が無理なく学べる内容・分量になっている。</w:t>
            </w:r>
          </w:p>
          <w:p w:rsidR="00075DF2" w:rsidRPr="00D15551" w:rsidRDefault="009C2CEA" w:rsidP="00647D27">
            <w:pPr>
              <w:spacing w:line="0" w:lineRule="atLeast"/>
              <w:ind w:left="160" w:hangingChars="100" w:hanging="160"/>
              <w:rPr>
                <w:rFonts w:ascii="ＭＳ 明朝" w:eastAsia="ＭＳ 明朝" w:hAnsi="ＭＳ 明朝"/>
                <w:sz w:val="16"/>
                <w:szCs w:val="16"/>
              </w:rPr>
            </w:pPr>
            <w:r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明朝" w:hint="eastAsia"/>
                <w:sz w:val="16"/>
                <w:szCs w:val="16"/>
              </w:rPr>
              <w:t>中学校での既習の内容を振り返り</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抵抗なく学習が進められるよう</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随所に「</w:t>
            </w:r>
            <w:r w:rsidR="00CC0536" w:rsidRPr="00D15551">
              <w:rPr>
                <w:rFonts w:ascii="ＭＳ 明朝" w:eastAsia="ＭＳ 明朝" w:hAnsi="ＭＳ 明朝" w:cs="ＭＳ 明朝" w:hint="eastAsia"/>
                <w:sz w:val="16"/>
                <w:szCs w:val="16"/>
              </w:rPr>
              <w:t>復習</w:t>
            </w:r>
            <w:r w:rsidR="00075DF2" w:rsidRPr="00D15551">
              <w:rPr>
                <w:rFonts w:ascii="ＭＳ 明朝" w:eastAsia="ＭＳ 明朝" w:hAnsi="ＭＳ 明朝" w:cs="ＭＳ 明朝" w:hint="eastAsia"/>
                <w:sz w:val="16"/>
                <w:szCs w:val="16"/>
              </w:rPr>
              <w:t>」</w:t>
            </w:r>
            <w:r w:rsidR="00075DF2" w:rsidRPr="00D15551">
              <w:rPr>
                <w:rFonts w:ascii="ＭＳ 明朝" w:eastAsia="ＭＳ 明朝" w:hAnsi="ＭＳ 明朝" w:hint="eastAsia"/>
                <w:sz w:val="16"/>
                <w:szCs w:val="16"/>
              </w:rPr>
              <w:t>が設けられている。また</w:t>
            </w:r>
            <w:r w:rsidR="00D15551" w:rsidRPr="00D15551">
              <w:rPr>
                <w:rFonts w:ascii="ＭＳ 明朝" w:eastAsia="ＭＳ 明朝" w:hAnsi="ＭＳ 明朝" w:hint="eastAsia"/>
                <w:sz w:val="16"/>
                <w:szCs w:val="16"/>
              </w:rPr>
              <w:t>、</w:t>
            </w:r>
            <w:r w:rsidR="00075DF2" w:rsidRPr="00D15551">
              <w:rPr>
                <w:rFonts w:ascii="ＭＳ 明朝" w:eastAsia="ＭＳ 明朝" w:hAnsi="ＭＳ 明朝" w:hint="eastAsia"/>
                <w:sz w:val="16"/>
                <w:szCs w:val="16"/>
              </w:rPr>
              <w:t>二次元コードで中学校理科教科書の「学習のまとめ」の紙面を確認できるように工夫されている。</w:t>
            </w:r>
          </w:p>
          <w:p w:rsidR="000B06D6" w:rsidRPr="009A0D71" w:rsidRDefault="009C2CEA" w:rsidP="00647D27">
            <w:pPr>
              <w:spacing w:line="0" w:lineRule="atLeast"/>
              <w:ind w:left="160" w:hangingChars="100" w:hanging="160"/>
              <w:rPr>
                <w:rFonts w:ascii="ＭＳ 明朝" w:eastAsia="ＭＳ 明朝" w:hAnsi="ＭＳ 明朝"/>
                <w:sz w:val="16"/>
                <w:szCs w:val="16"/>
              </w:rPr>
            </w:pPr>
            <w:r w:rsidRPr="00D15551">
              <w:rPr>
                <w:rFonts w:ascii="ＭＳ 明朝" w:eastAsia="ＭＳ 明朝" w:hAnsi="ＭＳ 明朝" w:cs="Malgun Gothic" w:hint="eastAsia"/>
                <w:sz w:val="16"/>
                <w:szCs w:val="16"/>
              </w:rPr>
              <w:t>・</w:t>
            </w:r>
            <w:r w:rsidR="00075DF2" w:rsidRPr="00D15551">
              <w:rPr>
                <w:rFonts w:ascii="ＭＳ 明朝" w:eastAsia="ＭＳ 明朝" w:hAnsi="ＭＳ 明朝" w:cs="ＭＳ 明朝" w:hint="eastAsia"/>
                <w:sz w:val="16"/>
                <w:szCs w:val="16"/>
              </w:rPr>
              <w:t>自宅でも実施可能な「おうちラボ」が適所に配置されており</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生徒の興味・関心</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授</w:t>
            </w:r>
            <w:r w:rsidR="00075DF2" w:rsidRPr="00D15551">
              <w:rPr>
                <w:rFonts w:ascii="ＭＳ 明朝" w:eastAsia="ＭＳ 明朝" w:hAnsi="ＭＳ 明朝" w:hint="eastAsia"/>
                <w:sz w:val="16"/>
                <w:szCs w:val="16"/>
              </w:rPr>
              <w:t>業や学習の進度に応じて取り組むことができるように配慮されている。</w:t>
            </w:r>
          </w:p>
        </w:tc>
      </w:tr>
      <w:tr w:rsidR="000B06D6" w:rsidRPr="00072565" w:rsidTr="00647D27">
        <w:trPr>
          <w:cantSplit/>
          <w:trHeight w:val="1134"/>
        </w:trPr>
        <w:tc>
          <w:tcPr>
            <w:tcW w:w="704" w:type="dxa"/>
            <w:textDirection w:val="tbRlV"/>
          </w:tcPr>
          <w:p w:rsidR="000B06D6" w:rsidRPr="009A0D71" w:rsidRDefault="000B06D6" w:rsidP="00C96E8A">
            <w:pPr>
              <w:spacing w:beforeLines="50" w:before="180"/>
              <w:ind w:left="113" w:right="113"/>
              <w:jc w:val="center"/>
              <w:rPr>
                <w:rFonts w:ascii="ＭＳ ゴシック" w:eastAsia="ＭＳ ゴシック" w:hAnsi="ＭＳ ゴシック"/>
                <w:sz w:val="16"/>
                <w:szCs w:val="16"/>
              </w:rPr>
            </w:pPr>
            <w:r w:rsidRPr="009A0D71">
              <w:rPr>
                <w:rFonts w:ascii="ＭＳ ゴシック" w:eastAsia="ＭＳ ゴシック" w:hAnsi="ＭＳ ゴシック"/>
                <w:sz w:val="18"/>
                <w:szCs w:val="16"/>
              </w:rPr>
              <w:t>表記・表現及び指導に対する工夫や配慮</w:t>
            </w:r>
          </w:p>
        </w:tc>
        <w:tc>
          <w:tcPr>
            <w:tcW w:w="2693" w:type="dxa"/>
          </w:tcPr>
          <w:p w:rsidR="00647D27" w:rsidRDefault="009C2CEA" w:rsidP="009C2CE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学習意欲を高めるための配慮が</w:t>
            </w:r>
          </w:p>
          <w:p w:rsidR="00075DF2" w:rsidRPr="00075DF2" w:rsidRDefault="00075DF2" w:rsidP="00075DF2">
            <w:pPr>
              <w:spacing w:line="0" w:lineRule="atLeast"/>
              <w:ind w:firstLineChars="100" w:firstLine="160"/>
              <w:rPr>
                <w:rFonts w:ascii="ＭＳ 明朝" w:eastAsia="ＭＳ 明朝" w:hAnsi="ＭＳ 明朝" w:cs="游明朝"/>
                <w:sz w:val="16"/>
                <w:szCs w:val="16"/>
              </w:rPr>
            </w:pPr>
            <w:r w:rsidRPr="00075DF2">
              <w:rPr>
                <w:rFonts w:ascii="ＭＳ 明朝" w:eastAsia="ＭＳ 明朝" w:hAnsi="ＭＳ 明朝" w:cs="ＭＳ 明朝" w:hint="eastAsia"/>
                <w:sz w:val="16"/>
                <w:szCs w:val="16"/>
              </w:rPr>
              <w:t>なされてい</w:t>
            </w:r>
            <w:r w:rsidRPr="00075DF2">
              <w:rPr>
                <w:rFonts w:ascii="ＭＳ 明朝" w:eastAsia="ＭＳ 明朝" w:hAnsi="ＭＳ 明朝" w:cs="游明朝" w:hint="eastAsia"/>
                <w:sz w:val="16"/>
                <w:szCs w:val="16"/>
              </w:rPr>
              <w:t>るか。</w:t>
            </w:r>
          </w:p>
          <w:p w:rsidR="00647D27" w:rsidRDefault="009C2CEA" w:rsidP="009C2CE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個に応じた指導への工夫がなさ</w:t>
            </w:r>
          </w:p>
          <w:p w:rsidR="00075DF2" w:rsidRPr="00647D27" w:rsidRDefault="00075DF2" w:rsidP="00647D27">
            <w:pPr>
              <w:spacing w:line="0" w:lineRule="atLeast"/>
              <w:ind w:firstLineChars="100" w:firstLine="160"/>
              <w:rPr>
                <w:rFonts w:ascii="ＭＳ 明朝" w:eastAsia="ＭＳ 明朝" w:hAnsi="ＭＳ 明朝" w:cs="ＭＳ 明朝"/>
                <w:sz w:val="16"/>
                <w:szCs w:val="16"/>
              </w:rPr>
            </w:pPr>
            <w:r w:rsidRPr="00075DF2">
              <w:rPr>
                <w:rFonts w:ascii="ＭＳ 明朝" w:eastAsia="ＭＳ 明朝" w:hAnsi="ＭＳ 明朝" w:cs="ＭＳ 明朝" w:hint="eastAsia"/>
                <w:sz w:val="16"/>
                <w:szCs w:val="16"/>
              </w:rPr>
              <w:t>れているか。</w:t>
            </w:r>
          </w:p>
          <w:p w:rsidR="00647D27" w:rsidRDefault="009C2CEA" w:rsidP="009C2CE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生徒の自学自習への配慮や工夫</w:t>
            </w:r>
          </w:p>
          <w:p w:rsidR="00075DF2" w:rsidRPr="00647D27" w:rsidRDefault="00075DF2" w:rsidP="00647D27">
            <w:pPr>
              <w:spacing w:line="0" w:lineRule="atLeast"/>
              <w:ind w:firstLineChars="100" w:firstLine="160"/>
              <w:rPr>
                <w:rFonts w:ascii="ＭＳ 明朝" w:eastAsia="ＭＳ 明朝" w:hAnsi="ＭＳ 明朝" w:cs="ＭＳ 明朝"/>
                <w:sz w:val="16"/>
                <w:szCs w:val="16"/>
              </w:rPr>
            </w:pPr>
            <w:r w:rsidRPr="00075DF2">
              <w:rPr>
                <w:rFonts w:ascii="ＭＳ 明朝" w:eastAsia="ＭＳ 明朝" w:hAnsi="ＭＳ 明朝" w:cs="ＭＳ 明朝" w:hint="eastAsia"/>
                <w:sz w:val="16"/>
                <w:szCs w:val="16"/>
              </w:rPr>
              <w:t>がなされて</w:t>
            </w:r>
            <w:r w:rsidRPr="00075DF2">
              <w:rPr>
                <w:rFonts w:ascii="ＭＳ 明朝" w:eastAsia="ＭＳ 明朝" w:hAnsi="ＭＳ 明朝" w:cs="游明朝" w:hint="eastAsia"/>
                <w:sz w:val="16"/>
                <w:szCs w:val="16"/>
              </w:rPr>
              <w:t>いるか。</w:t>
            </w:r>
          </w:p>
          <w:p w:rsidR="00647D27" w:rsidRDefault="009C2CEA" w:rsidP="009C2CE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持続可能な社会をつくる力を育</w:t>
            </w:r>
          </w:p>
          <w:p w:rsidR="00647D27" w:rsidRDefault="00075DF2" w:rsidP="00647D27">
            <w:pPr>
              <w:spacing w:line="0" w:lineRule="atLeast"/>
              <w:ind w:firstLineChars="100" w:firstLine="160"/>
              <w:rPr>
                <w:rFonts w:ascii="ＭＳ 明朝" w:eastAsia="ＭＳ 明朝" w:hAnsi="ＭＳ 明朝" w:cs="游明朝"/>
                <w:sz w:val="16"/>
                <w:szCs w:val="16"/>
              </w:rPr>
            </w:pPr>
            <w:r w:rsidRPr="00075DF2">
              <w:rPr>
                <w:rFonts w:ascii="ＭＳ 明朝" w:eastAsia="ＭＳ 明朝" w:hAnsi="ＭＳ 明朝" w:cs="ＭＳ 明朝" w:hint="eastAsia"/>
                <w:sz w:val="16"/>
                <w:szCs w:val="16"/>
              </w:rPr>
              <w:t>成するため</w:t>
            </w:r>
            <w:r w:rsidRPr="00075DF2">
              <w:rPr>
                <w:rFonts w:ascii="ＭＳ 明朝" w:eastAsia="ＭＳ 明朝" w:hAnsi="ＭＳ 明朝" w:cs="游明朝" w:hint="eastAsia"/>
                <w:sz w:val="16"/>
                <w:szCs w:val="16"/>
              </w:rPr>
              <w:t>の工夫がなされてい</w:t>
            </w:r>
          </w:p>
          <w:p w:rsidR="00075DF2" w:rsidRPr="00647D27" w:rsidRDefault="00075DF2" w:rsidP="00647D27">
            <w:pPr>
              <w:spacing w:line="0" w:lineRule="atLeast"/>
              <w:ind w:firstLineChars="100" w:firstLine="160"/>
              <w:rPr>
                <w:rFonts w:ascii="ＭＳ 明朝" w:eastAsia="ＭＳ 明朝" w:hAnsi="ＭＳ 明朝" w:cs="ＭＳ 明朝"/>
                <w:sz w:val="16"/>
                <w:szCs w:val="16"/>
              </w:rPr>
            </w:pPr>
            <w:r w:rsidRPr="00075DF2">
              <w:rPr>
                <w:rFonts w:ascii="ＭＳ 明朝" w:eastAsia="ＭＳ 明朝" w:hAnsi="ＭＳ 明朝" w:cs="游明朝" w:hint="eastAsia"/>
                <w:sz w:val="16"/>
                <w:szCs w:val="16"/>
              </w:rPr>
              <w:t>るか。</w:t>
            </w:r>
          </w:p>
          <w:p w:rsidR="00647D27" w:rsidRDefault="009C2CEA" w:rsidP="009C2CE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用語・記号の取り上げ方や記述の</w:t>
            </w:r>
          </w:p>
          <w:p w:rsidR="00075DF2" w:rsidRPr="00075DF2" w:rsidRDefault="00075DF2" w:rsidP="00075DF2">
            <w:pPr>
              <w:spacing w:line="0" w:lineRule="atLeast"/>
              <w:ind w:firstLineChars="100" w:firstLine="160"/>
              <w:rPr>
                <w:rFonts w:ascii="ＭＳ 明朝" w:eastAsia="ＭＳ 明朝" w:hAnsi="ＭＳ 明朝" w:cs="游明朝"/>
                <w:sz w:val="16"/>
                <w:szCs w:val="16"/>
              </w:rPr>
            </w:pPr>
            <w:r w:rsidRPr="00075DF2">
              <w:rPr>
                <w:rFonts w:ascii="ＭＳ 明朝" w:eastAsia="ＭＳ 明朝" w:hAnsi="ＭＳ 明朝" w:cs="ＭＳ 明朝" w:hint="eastAsia"/>
                <w:sz w:val="16"/>
                <w:szCs w:val="16"/>
              </w:rPr>
              <w:t>しかたは</w:t>
            </w:r>
            <w:r w:rsidRPr="00075DF2">
              <w:rPr>
                <w:rFonts w:ascii="ＭＳ 明朝" w:eastAsia="ＭＳ 明朝" w:hAnsi="ＭＳ 明朝" w:cs="游明朝" w:hint="eastAsia"/>
                <w:sz w:val="16"/>
                <w:szCs w:val="16"/>
              </w:rPr>
              <w:t>適切か。</w:t>
            </w:r>
          </w:p>
          <w:p w:rsidR="00647D27" w:rsidRDefault="009C2CEA" w:rsidP="009C2CE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文章</w:t>
            </w:r>
            <w:r w:rsidR="00D15551">
              <w:rPr>
                <w:rFonts w:ascii="ＭＳ 明朝" w:eastAsia="ＭＳ 明朝" w:hAnsi="ＭＳ 明朝" w:cs="ＭＳ 明朝" w:hint="eastAsia"/>
                <w:sz w:val="16"/>
                <w:szCs w:val="16"/>
              </w:rPr>
              <w:t>、</w:t>
            </w:r>
            <w:r w:rsidR="00075DF2" w:rsidRPr="00075DF2">
              <w:rPr>
                <w:rFonts w:ascii="ＭＳ 明朝" w:eastAsia="ＭＳ 明朝" w:hAnsi="ＭＳ 明朝" w:cs="ＭＳ 明朝" w:hint="eastAsia"/>
                <w:sz w:val="16"/>
                <w:szCs w:val="16"/>
              </w:rPr>
              <w:t>図やイラストは</w:t>
            </w:r>
            <w:r w:rsidR="00D15551">
              <w:rPr>
                <w:rFonts w:ascii="ＭＳ 明朝" w:eastAsia="ＭＳ 明朝" w:hAnsi="ＭＳ 明朝" w:cs="ＭＳ 明朝" w:hint="eastAsia"/>
                <w:sz w:val="16"/>
                <w:szCs w:val="16"/>
              </w:rPr>
              <w:t>、</w:t>
            </w:r>
            <w:r w:rsidR="00075DF2" w:rsidRPr="00075DF2">
              <w:rPr>
                <w:rFonts w:ascii="ＭＳ 明朝" w:eastAsia="ＭＳ 明朝" w:hAnsi="ＭＳ 明朝" w:cs="ＭＳ 明朝" w:hint="eastAsia"/>
                <w:sz w:val="16"/>
                <w:szCs w:val="16"/>
              </w:rPr>
              <w:t>わかりや</w:t>
            </w:r>
          </w:p>
          <w:p w:rsidR="00075DF2" w:rsidRPr="00075DF2" w:rsidRDefault="00075DF2" w:rsidP="00075DF2">
            <w:pPr>
              <w:spacing w:line="0" w:lineRule="atLeast"/>
              <w:ind w:firstLineChars="100" w:firstLine="160"/>
              <w:rPr>
                <w:rFonts w:ascii="ＭＳ 明朝" w:eastAsia="ＭＳ 明朝" w:hAnsi="ＭＳ 明朝" w:cs="游明朝"/>
                <w:sz w:val="16"/>
                <w:szCs w:val="16"/>
              </w:rPr>
            </w:pPr>
            <w:r w:rsidRPr="00075DF2">
              <w:rPr>
                <w:rFonts w:ascii="ＭＳ 明朝" w:eastAsia="ＭＳ 明朝" w:hAnsi="ＭＳ 明朝" w:cs="ＭＳ 明朝" w:hint="eastAsia"/>
                <w:sz w:val="16"/>
                <w:szCs w:val="16"/>
              </w:rPr>
              <w:t>すいもの</w:t>
            </w:r>
            <w:r w:rsidRPr="00075DF2">
              <w:rPr>
                <w:rFonts w:ascii="ＭＳ 明朝" w:eastAsia="ＭＳ 明朝" w:hAnsi="ＭＳ 明朝" w:cs="游明朝" w:hint="eastAsia"/>
                <w:sz w:val="16"/>
                <w:szCs w:val="16"/>
              </w:rPr>
              <w:t>になっているか。</w:t>
            </w:r>
          </w:p>
          <w:p w:rsidR="00647D27" w:rsidRDefault="009C2CEA" w:rsidP="009C2CE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コンピュータやインターネット</w:t>
            </w:r>
          </w:p>
          <w:p w:rsidR="00647D27" w:rsidRDefault="00075DF2" w:rsidP="00075DF2">
            <w:pPr>
              <w:spacing w:line="0" w:lineRule="atLeast"/>
              <w:ind w:firstLineChars="100" w:firstLine="160"/>
              <w:rPr>
                <w:rFonts w:ascii="ＭＳ 明朝" w:eastAsia="ＭＳ 明朝" w:hAnsi="ＭＳ 明朝" w:cs="游明朝"/>
                <w:sz w:val="16"/>
                <w:szCs w:val="16"/>
              </w:rPr>
            </w:pPr>
            <w:r w:rsidRPr="00075DF2">
              <w:rPr>
                <w:rFonts w:ascii="ＭＳ 明朝" w:eastAsia="ＭＳ 明朝" w:hAnsi="ＭＳ 明朝" w:cs="ＭＳ 明朝" w:hint="eastAsia"/>
                <w:sz w:val="16"/>
                <w:szCs w:val="16"/>
              </w:rPr>
              <w:t>など</w:t>
            </w:r>
            <w:r w:rsidR="00D15551">
              <w:rPr>
                <w:rFonts w:ascii="ＭＳ 明朝" w:eastAsia="ＭＳ 明朝" w:hAnsi="ＭＳ 明朝" w:cs="ＭＳ 明朝" w:hint="eastAsia"/>
                <w:sz w:val="16"/>
                <w:szCs w:val="16"/>
              </w:rPr>
              <w:t>、</w:t>
            </w:r>
            <w:r w:rsidRPr="00075DF2">
              <w:rPr>
                <w:rFonts w:ascii="ＭＳ 明朝" w:eastAsia="ＭＳ 明朝" w:hAnsi="ＭＳ 明朝" w:cs="游明朝"/>
                <w:sz w:val="16"/>
                <w:szCs w:val="16"/>
              </w:rPr>
              <w:t>ICT</w:t>
            </w:r>
            <w:r w:rsidRPr="00075DF2">
              <w:rPr>
                <w:rFonts w:ascii="ＭＳ 明朝" w:eastAsia="ＭＳ 明朝" w:hAnsi="ＭＳ 明朝" w:cs="游明朝" w:hint="eastAsia"/>
                <w:sz w:val="16"/>
                <w:szCs w:val="16"/>
              </w:rPr>
              <w:t>の効果的な活用への配</w:t>
            </w:r>
          </w:p>
          <w:p w:rsidR="00075DF2" w:rsidRPr="00075DF2" w:rsidRDefault="00075DF2" w:rsidP="00647D27">
            <w:pPr>
              <w:spacing w:line="0" w:lineRule="atLeast"/>
              <w:ind w:firstLineChars="100" w:firstLine="160"/>
              <w:rPr>
                <w:rFonts w:ascii="ＭＳ 明朝" w:eastAsia="ＭＳ 明朝" w:hAnsi="ＭＳ 明朝" w:cs="游明朝"/>
                <w:sz w:val="16"/>
                <w:szCs w:val="16"/>
              </w:rPr>
            </w:pPr>
            <w:r w:rsidRPr="00075DF2">
              <w:rPr>
                <w:rFonts w:ascii="ＭＳ 明朝" w:eastAsia="ＭＳ 明朝" w:hAnsi="ＭＳ 明朝" w:cs="游明朝" w:hint="eastAsia"/>
                <w:sz w:val="16"/>
                <w:szCs w:val="16"/>
              </w:rPr>
              <w:t>慮や工夫がなされているか。</w:t>
            </w:r>
          </w:p>
          <w:p w:rsidR="00647D27" w:rsidRDefault="009C2CEA" w:rsidP="009C2CE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指導書や周辺教材での工夫や配</w:t>
            </w:r>
          </w:p>
          <w:p w:rsidR="000B06D6" w:rsidRPr="009A0D71" w:rsidRDefault="00075DF2" w:rsidP="00647D27">
            <w:pPr>
              <w:spacing w:line="0" w:lineRule="atLeast"/>
              <w:ind w:firstLineChars="100" w:firstLine="160"/>
              <w:rPr>
                <w:rFonts w:ascii="ＭＳ 明朝" w:eastAsia="ＭＳ 明朝" w:hAnsi="ＭＳ 明朝" w:cs="游明朝"/>
                <w:sz w:val="16"/>
                <w:szCs w:val="16"/>
              </w:rPr>
            </w:pPr>
            <w:r w:rsidRPr="00075DF2">
              <w:rPr>
                <w:rFonts w:ascii="ＭＳ 明朝" w:eastAsia="ＭＳ 明朝" w:hAnsi="ＭＳ 明朝" w:cs="ＭＳ 明朝" w:hint="eastAsia"/>
                <w:sz w:val="16"/>
                <w:szCs w:val="16"/>
              </w:rPr>
              <w:t>慮がなされ</w:t>
            </w:r>
            <w:r w:rsidRPr="00075DF2">
              <w:rPr>
                <w:rFonts w:ascii="ＭＳ 明朝" w:eastAsia="ＭＳ 明朝" w:hAnsi="ＭＳ 明朝" w:cs="游明朝" w:hint="eastAsia"/>
                <w:sz w:val="16"/>
                <w:szCs w:val="16"/>
              </w:rPr>
              <w:t>ているか。</w:t>
            </w:r>
          </w:p>
        </w:tc>
        <w:tc>
          <w:tcPr>
            <w:tcW w:w="6379" w:type="dxa"/>
          </w:tcPr>
          <w:p w:rsidR="00075DF2" w:rsidRPr="00D15551" w:rsidRDefault="009C2CEA" w:rsidP="00647D27">
            <w:pPr>
              <w:spacing w:line="0" w:lineRule="atLeast"/>
              <w:ind w:left="160" w:hangingChars="100" w:hanging="160"/>
              <w:rPr>
                <w:rFonts w:ascii="ＭＳ 明朝" w:eastAsia="ＭＳ 明朝" w:hAnsi="ＭＳ 明朝" w:cs="游明朝"/>
                <w:sz w:val="16"/>
                <w:szCs w:val="16"/>
              </w:rPr>
            </w:pPr>
            <w:r w:rsidRPr="00D15551">
              <w:rPr>
                <w:rFonts w:ascii="ＭＳ 明朝" w:eastAsia="ＭＳ 明朝" w:hAnsi="ＭＳ 明朝" w:cs="ＭＳ ゴシック" w:hint="eastAsia"/>
                <w:sz w:val="16"/>
                <w:szCs w:val="16"/>
              </w:rPr>
              <w:t>・</w:t>
            </w:r>
            <w:r w:rsidR="00C032F0">
              <w:rPr>
                <w:rFonts w:ascii="ＭＳ 明朝" w:eastAsia="ＭＳ 明朝" w:hAnsi="ＭＳ 明朝" w:cs="ＭＳ ゴシック" w:hint="eastAsia"/>
                <w:sz w:val="16"/>
                <w:szCs w:val="16"/>
              </w:rPr>
              <w:t>巻頭特集「化学と世界」</w:t>
            </w:r>
            <w:r w:rsidR="00C032F0">
              <w:rPr>
                <w:rFonts w:ascii="ＭＳ 明朝" w:eastAsia="ＭＳ 明朝" w:hAnsi="ＭＳ 明朝" w:cs="游明朝"/>
                <w:sz w:val="16"/>
                <w:szCs w:val="16"/>
              </w:rPr>
              <w:t>や</w:t>
            </w:r>
            <w:r w:rsidR="00075DF2" w:rsidRPr="00D15551">
              <w:rPr>
                <w:rFonts w:ascii="ＭＳ 明朝" w:eastAsia="ＭＳ 明朝" w:hAnsi="ＭＳ 明朝" w:cs="游明朝"/>
                <w:sz w:val="16"/>
                <w:szCs w:val="16"/>
              </w:rPr>
              <w:t>編扉</w:t>
            </w:r>
            <w:r w:rsidR="00593C29">
              <w:rPr>
                <w:rFonts w:ascii="ＭＳ 明朝" w:eastAsia="ＭＳ 明朝" w:hAnsi="ＭＳ 明朝" w:cs="游明朝" w:hint="eastAsia"/>
                <w:sz w:val="16"/>
                <w:szCs w:val="16"/>
              </w:rPr>
              <w:t>で</w:t>
            </w:r>
            <w:r w:rsidR="00075DF2" w:rsidRPr="00D15551">
              <w:rPr>
                <w:rFonts w:ascii="ＭＳ 明朝" w:eastAsia="ＭＳ 明朝" w:hAnsi="ＭＳ 明朝" w:cs="游明朝"/>
                <w:sz w:val="16"/>
                <w:szCs w:val="16"/>
              </w:rPr>
              <w:t>は生徒の興味・関心を喚起する美しい写真を大きく使ったり</w:t>
            </w:r>
            <w:r w:rsidR="00D15551" w:rsidRPr="00D15551">
              <w:rPr>
                <w:rFonts w:ascii="ＭＳ 明朝" w:eastAsia="ＭＳ 明朝" w:hAnsi="ＭＳ 明朝" w:cs="游明朝"/>
                <w:sz w:val="16"/>
                <w:szCs w:val="16"/>
              </w:rPr>
              <w:t>、</w:t>
            </w:r>
            <w:r w:rsidR="00075DF2" w:rsidRPr="00D15551">
              <w:rPr>
                <w:rFonts w:ascii="ＭＳ 明朝" w:eastAsia="ＭＳ 明朝" w:hAnsi="ＭＳ 明朝" w:cs="游明朝"/>
                <w:sz w:val="16"/>
                <w:szCs w:val="16"/>
              </w:rPr>
              <w:t>本文中の写真もなる</w:t>
            </w:r>
            <w:r w:rsidR="00075DF2" w:rsidRPr="00D15551">
              <w:rPr>
                <w:rFonts w:ascii="ＭＳ 明朝" w:eastAsia="ＭＳ 明朝" w:hAnsi="ＭＳ 明朝" w:cs="游明朝" w:hint="eastAsia"/>
                <w:sz w:val="16"/>
                <w:szCs w:val="16"/>
              </w:rPr>
              <w:t>べく身近な製品を使ったりするなど</w:t>
            </w:r>
            <w:r w:rsidR="00D15551" w:rsidRPr="00D15551">
              <w:rPr>
                <w:rFonts w:ascii="ＭＳ 明朝" w:eastAsia="ＭＳ 明朝" w:hAnsi="ＭＳ 明朝" w:cs="游明朝" w:hint="eastAsia"/>
                <w:sz w:val="16"/>
                <w:szCs w:val="16"/>
              </w:rPr>
              <w:t>、</w:t>
            </w:r>
            <w:r w:rsidR="00075DF2" w:rsidRPr="00D15551">
              <w:rPr>
                <w:rFonts w:ascii="ＭＳ 明朝" w:eastAsia="ＭＳ 明朝" w:hAnsi="ＭＳ 明朝" w:cs="游明朝" w:hint="eastAsia"/>
                <w:sz w:val="16"/>
                <w:szCs w:val="16"/>
              </w:rPr>
              <w:t>視覚的に生徒の暮らしと化学をつなげる工夫をしている。</w:t>
            </w:r>
          </w:p>
          <w:p w:rsidR="00075DF2" w:rsidRPr="00D15551" w:rsidRDefault="009C2CEA" w:rsidP="00647D27">
            <w:pPr>
              <w:spacing w:line="0" w:lineRule="atLeast"/>
              <w:ind w:left="160" w:hangingChars="100" w:hanging="160"/>
              <w:rPr>
                <w:rFonts w:ascii="ＭＳ 明朝" w:eastAsia="ＭＳ 明朝" w:hAnsi="ＭＳ 明朝" w:cs="游明朝"/>
                <w:sz w:val="16"/>
                <w:szCs w:val="16"/>
              </w:rPr>
            </w:pPr>
            <w:r w:rsidRPr="00D15551">
              <w:rPr>
                <w:rFonts w:ascii="ＭＳ 明朝" w:eastAsia="ＭＳ 明朝" w:hAnsi="ＭＳ 明朝" w:cs="Malgun Gothic" w:hint="eastAsia"/>
                <w:sz w:val="16"/>
                <w:szCs w:val="16"/>
              </w:rPr>
              <w:t>・</w:t>
            </w:r>
            <w:r w:rsidR="00AF34D7">
              <w:rPr>
                <w:rFonts w:ascii="ＭＳ 明朝" w:eastAsia="ＭＳ 明朝" w:hAnsi="ＭＳ 明朝" w:cs="ＭＳ ゴシック" w:hint="eastAsia"/>
                <w:sz w:val="16"/>
                <w:szCs w:val="16"/>
              </w:rPr>
              <w:t>「化学基礎×仕事」</w:t>
            </w:r>
            <w:r w:rsidR="00AF34D7" w:rsidRPr="00D15551">
              <w:rPr>
                <w:rFonts w:ascii="ＭＳ 明朝" w:eastAsia="ＭＳ 明朝" w:hAnsi="ＭＳ 明朝" w:cs="ＭＳ 明朝" w:hint="eastAsia"/>
                <w:sz w:val="16"/>
                <w:szCs w:val="16"/>
              </w:rPr>
              <w:t>では</w:t>
            </w:r>
            <w:r w:rsidR="00075DF2" w:rsidRPr="00D15551">
              <w:rPr>
                <w:rFonts w:ascii="ＭＳ 明朝" w:eastAsia="ＭＳ 明朝" w:hAnsi="ＭＳ 明朝" w:cs="ＭＳ 明朝" w:hint="eastAsia"/>
                <w:sz w:val="16"/>
                <w:szCs w:val="16"/>
              </w:rPr>
              <w:t>には</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学習内容に関係する職業とそこで働く人が紹介されており</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学習意欲を高められるように</w:t>
            </w:r>
            <w:r w:rsidR="00075DF2" w:rsidRPr="00D15551">
              <w:rPr>
                <w:rFonts w:ascii="ＭＳ 明朝" w:eastAsia="ＭＳ 明朝" w:hAnsi="ＭＳ 明朝" w:cs="游明朝" w:hint="eastAsia"/>
                <w:sz w:val="16"/>
                <w:szCs w:val="16"/>
              </w:rPr>
              <w:t>工夫</w:t>
            </w:r>
            <w:r w:rsidR="00D15551">
              <w:rPr>
                <w:rFonts w:ascii="ＭＳ 明朝" w:eastAsia="ＭＳ 明朝" w:hAnsi="ＭＳ 明朝" w:cs="游明朝" w:hint="eastAsia"/>
                <w:sz w:val="16"/>
                <w:szCs w:val="16"/>
              </w:rPr>
              <w:t>されている</w:t>
            </w:r>
            <w:r w:rsidR="00075DF2" w:rsidRPr="00D15551">
              <w:rPr>
                <w:rFonts w:ascii="ＭＳ 明朝" w:eastAsia="ＭＳ 明朝" w:hAnsi="ＭＳ 明朝" w:cs="游明朝" w:hint="eastAsia"/>
                <w:sz w:val="16"/>
                <w:szCs w:val="16"/>
              </w:rPr>
              <w:t>。</w:t>
            </w:r>
          </w:p>
          <w:p w:rsidR="00075DF2" w:rsidRPr="00D15551" w:rsidRDefault="009C2CEA" w:rsidP="00647D27">
            <w:pPr>
              <w:spacing w:line="0" w:lineRule="atLeast"/>
              <w:ind w:left="160" w:hangingChars="100" w:hanging="160"/>
              <w:rPr>
                <w:rFonts w:ascii="ＭＳ 明朝" w:eastAsia="ＭＳ 明朝" w:hAnsi="ＭＳ 明朝" w:cs="游明朝"/>
                <w:sz w:val="16"/>
                <w:szCs w:val="16"/>
              </w:rPr>
            </w:pPr>
            <w:r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明朝" w:hint="eastAsia"/>
                <w:sz w:val="16"/>
                <w:szCs w:val="16"/>
              </w:rPr>
              <w:t>節ごとに「？」（学習の問い）と「！」（この節のポイント）が設けられており</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生徒が課題意識をもち</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游明朝" w:hint="eastAsia"/>
                <w:sz w:val="16"/>
                <w:szCs w:val="16"/>
              </w:rPr>
              <w:t>見通しをもって学習を進めるとともに</w:t>
            </w:r>
            <w:r w:rsidR="00D15551" w:rsidRPr="00D15551">
              <w:rPr>
                <w:rFonts w:ascii="ＭＳ 明朝" w:eastAsia="ＭＳ 明朝" w:hAnsi="ＭＳ 明朝" w:cs="游明朝" w:hint="eastAsia"/>
                <w:sz w:val="16"/>
                <w:szCs w:val="16"/>
              </w:rPr>
              <w:t>、</w:t>
            </w:r>
            <w:r w:rsidR="00075DF2" w:rsidRPr="00D15551">
              <w:rPr>
                <w:rFonts w:ascii="ＭＳ 明朝" w:eastAsia="ＭＳ 明朝" w:hAnsi="ＭＳ 明朝" w:cs="游明朝" w:hint="eastAsia"/>
                <w:sz w:val="16"/>
                <w:szCs w:val="16"/>
              </w:rPr>
              <w:t>学習内容の要点を押さえられるように工夫されている。</w:t>
            </w:r>
          </w:p>
          <w:p w:rsidR="00075DF2" w:rsidRPr="00D15551" w:rsidRDefault="009C2CEA" w:rsidP="00647D27">
            <w:pPr>
              <w:spacing w:line="0" w:lineRule="atLeast"/>
              <w:ind w:left="160" w:hangingChars="100" w:hanging="160"/>
              <w:rPr>
                <w:rFonts w:ascii="ＭＳ 明朝" w:eastAsia="ＭＳ 明朝" w:hAnsi="ＭＳ 明朝" w:cs="游明朝"/>
                <w:sz w:val="16"/>
                <w:szCs w:val="16"/>
              </w:rPr>
            </w:pPr>
            <w:r w:rsidRPr="00D15551">
              <w:rPr>
                <w:rFonts w:ascii="ＭＳ 明朝" w:eastAsia="ＭＳ 明朝" w:hAnsi="ＭＳ 明朝" w:cs="Malgun Gothic" w:hint="eastAsia"/>
                <w:sz w:val="16"/>
                <w:szCs w:val="16"/>
              </w:rPr>
              <w:t>・</w:t>
            </w:r>
            <w:r w:rsidR="00075DF2" w:rsidRPr="00D15551">
              <w:rPr>
                <w:rFonts w:ascii="ＭＳ 明朝" w:eastAsia="ＭＳ 明朝" w:hAnsi="ＭＳ 明朝" w:cs="ＭＳ 明朝" w:hint="eastAsia"/>
                <w:sz w:val="16"/>
                <w:szCs w:val="16"/>
              </w:rPr>
              <w:t>「おうちラボ」では</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自宅でもできる実験を安全に配慮して扱っている。また</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観察・実験ごとに</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事</w:t>
            </w:r>
            <w:r w:rsidR="00075DF2" w:rsidRPr="00D15551">
              <w:rPr>
                <w:rFonts w:ascii="ＭＳ 明朝" w:eastAsia="ＭＳ 明朝" w:hAnsi="ＭＳ 明朝" w:cs="游明朝" w:hint="eastAsia"/>
                <w:sz w:val="16"/>
                <w:szCs w:val="16"/>
              </w:rPr>
              <w:t>故防止の注意マークを目立つように付している。</w:t>
            </w:r>
          </w:p>
          <w:p w:rsidR="00075DF2" w:rsidRPr="00D15551" w:rsidRDefault="009C2CEA" w:rsidP="00647D27">
            <w:pPr>
              <w:spacing w:line="0" w:lineRule="atLeast"/>
              <w:ind w:left="160" w:hangingChars="100" w:hanging="160"/>
              <w:rPr>
                <w:rFonts w:ascii="ＭＳ 明朝" w:eastAsia="ＭＳ 明朝" w:hAnsi="ＭＳ 明朝" w:cs="游明朝"/>
                <w:sz w:val="16"/>
                <w:szCs w:val="16"/>
              </w:rPr>
            </w:pPr>
            <w:r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明朝" w:hint="eastAsia"/>
                <w:sz w:val="16"/>
                <w:szCs w:val="16"/>
              </w:rPr>
              <w:t>各章末の「</w:t>
            </w:r>
            <w:r w:rsidR="00D15551">
              <w:rPr>
                <w:rFonts w:ascii="ＭＳ 明朝" w:eastAsia="ＭＳ 明朝" w:hAnsi="ＭＳ 明朝" w:cs="ＭＳ 明朝" w:hint="eastAsia"/>
                <w:sz w:val="16"/>
                <w:szCs w:val="16"/>
              </w:rPr>
              <w:t>章末確認問題</w:t>
            </w:r>
            <w:r w:rsidR="00075DF2" w:rsidRPr="00D15551">
              <w:rPr>
                <w:rFonts w:ascii="ＭＳ 明朝" w:eastAsia="ＭＳ 明朝" w:hAnsi="ＭＳ 明朝" w:cs="ＭＳ 明朝" w:hint="eastAsia"/>
                <w:sz w:val="16"/>
                <w:szCs w:val="16"/>
              </w:rPr>
              <w:t>」は</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巻末に解答が示されており</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自学自習への配慮がなされている。</w:t>
            </w:r>
          </w:p>
          <w:p w:rsidR="00075DF2" w:rsidRPr="00D15551" w:rsidRDefault="00AF34D7" w:rsidP="00647D27">
            <w:pPr>
              <w:spacing w:line="0" w:lineRule="atLeast"/>
              <w:ind w:left="160" w:hangingChars="100" w:hanging="160"/>
              <w:rPr>
                <w:rFonts w:ascii="ＭＳ 明朝" w:eastAsia="ＭＳ 明朝" w:hAnsi="ＭＳ 明朝" w:cs="游明朝"/>
                <w:sz w:val="16"/>
                <w:szCs w:val="16"/>
              </w:rPr>
            </w:pPr>
            <w:r>
              <w:rPr>
                <w:rFonts w:ascii="ＭＳ 明朝" w:eastAsia="ＭＳ 明朝" w:hAnsi="ＭＳ 明朝" w:cs="游明朝" w:hint="eastAsia"/>
                <w:sz w:val="16"/>
                <w:szCs w:val="16"/>
              </w:rPr>
              <w:t>・</w:t>
            </w:r>
            <w:r w:rsidR="00075DF2" w:rsidRPr="00D15551">
              <w:rPr>
                <w:rFonts w:ascii="ＭＳ 明朝" w:eastAsia="ＭＳ 明朝" w:hAnsi="ＭＳ 明朝" w:cs="游明朝"/>
                <w:sz w:val="16"/>
                <w:szCs w:val="16"/>
              </w:rPr>
              <w:t>SDGsに関連する内容も取り上げるとともにマークを付して強</w:t>
            </w:r>
            <w:r w:rsidR="00075DF2" w:rsidRPr="00D15551">
              <w:rPr>
                <w:rFonts w:ascii="ＭＳ 明朝" w:eastAsia="ＭＳ 明朝" w:hAnsi="ＭＳ 明朝" w:cs="游明朝" w:hint="eastAsia"/>
                <w:sz w:val="16"/>
                <w:szCs w:val="16"/>
              </w:rPr>
              <w:t>調し</w:t>
            </w:r>
            <w:r w:rsidR="00D15551" w:rsidRPr="00D15551">
              <w:rPr>
                <w:rFonts w:ascii="ＭＳ 明朝" w:eastAsia="ＭＳ 明朝" w:hAnsi="ＭＳ 明朝" w:cs="游明朝" w:hint="eastAsia"/>
                <w:sz w:val="16"/>
                <w:szCs w:val="16"/>
              </w:rPr>
              <w:t>、</w:t>
            </w:r>
            <w:r w:rsidR="00075DF2" w:rsidRPr="00D15551">
              <w:rPr>
                <w:rFonts w:ascii="ＭＳ 明朝" w:eastAsia="ＭＳ 明朝" w:hAnsi="ＭＳ 明朝" w:cs="游明朝" w:hint="eastAsia"/>
                <w:sz w:val="16"/>
                <w:szCs w:val="16"/>
              </w:rPr>
              <w:t>意識を高めることができるように工夫されている。</w:t>
            </w:r>
          </w:p>
          <w:p w:rsidR="00075DF2" w:rsidRPr="00D15551" w:rsidRDefault="009C2CEA" w:rsidP="00647D27">
            <w:pPr>
              <w:spacing w:line="0" w:lineRule="atLeast"/>
              <w:ind w:left="160" w:hangingChars="100" w:hanging="160"/>
              <w:rPr>
                <w:rFonts w:ascii="ＭＳ 明朝" w:eastAsia="ＭＳ 明朝" w:hAnsi="ＭＳ 明朝" w:cs="游明朝"/>
                <w:sz w:val="16"/>
                <w:szCs w:val="16"/>
              </w:rPr>
            </w:pPr>
            <w:r w:rsidRPr="00D15551">
              <w:rPr>
                <w:rFonts w:ascii="ＭＳ 明朝" w:eastAsia="ＭＳ 明朝" w:hAnsi="ＭＳ 明朝" w:cs="Malgun Gothic" w:hint="eastAsia"/>
                <w:sz w:val="16"/>
                <w:szCs w:val="16"/>
              </w:rPr>
              <w:t>・</w:t>
            </w:r>
            <w:r w:rsidR="00075DF2" w:rsidRPr="00D15551">
              <w:rPr>
                <w:rFonts w:ascii="ＭＳ 明朝" w:eastAsia="ＭＳ 明朝" w:hAnsi="ＭＳ 明朝" w:cs="ＭＳ 明朝" w:hint="eastAsia"/>
                <w:sz w:val="16"/>
                <w:szCs w:val="16"/>
              </w:rPr>
              <w:t>重要用語や物質名</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読みにくい漢字には振り仮名を付けている。また</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振り仮名などの小さな文字に</w:t>
            </w:r>
            <w:r w:rsidR="00075DF2" w:rsidRPr="00D15551">
              <w:rPr>
                <w:rFonts w:ascii="ＭＳ 明朝" w:eastAsia="ＭＳ 明朝" w:hAnsi="ＭＳ 明朝" w:cs="游明朝" w:hint="eastAsia"/>
                <w:sz w:val="16"/>
                <w:szCs w:val="16"/>
              </w:rPr>
              <w:t>は</w:t>
            </w:r>
            <w:r w:rsidR="00D15551" w:rsidRPr="00D15551">
              <w:rPr>
                <w:rFonts w:ascii="ＭＳ 明朝" w:eastAsia="ＭＳ 明朝" w:hAnsi="ＭＳ 明朝" w:cs="游明朝" w:hint="eastAsia"/>
                <w:sz w:val="16"/>
                <w:szCs w:val="16"/>
              </w:rPr>
              <w:t>、</w:t>
            </w:r>
            <w:r w:rsidR="00075DF2" w:rsidRPr="00D15551">
              <w:rPr>
                <w:rFonts w:ascii="ＭＳ 明朝" w:eastAsia="ＭＳ 明朝" w:hAnsi="ＭＳ 明朝" w:cs="游明朝" w:hint="eastAsia"/>
                <w:sz w:val="16"/>
                <w:szCs w:val="16"/>
              </w:rPr>
              <w:t>ユニバーサルデザインフォントを使用している。</w:t>
            </w:r>
          </w:p>
          <w:p w:rsidR="00075DF2" w:rsidRPr="00D15551" w:rsidRDefault="009C2CEA" w:rsidP="00647D27">
            <w:pPr>
              <w:spacing w:line="0" w:lineRule="atLeast"/>
              <w:ind w:left="160" w:hangingChars="100" w:hanging="160"/>
              <w:rPr>
                <w:rFonts w:ascii="ＭＳ 明朝" w:eastAsia="ＭＳ 明朝" w:hAnsi="ＭＳ 明朝" w:cs="游明朝"/>
                <w:sz w:val="16"/>
                <w:szCs w:val="16"/>
              </w:rPr>
            </w:pPr>
            <w:r w:rsidRPr="00D15551">
              <w:rPr>
                <w:rFonts w:ascii="ＭＳ 明朝" w:eastAsia="ＭＳ 明朝" w:hAnsi="ＭＳ 明朝" w:cs="Malgun Gothic" w:hint="eastAsia"/>
                <w:sz w:val="16"/>
                <w:szCs w:val="16"/>
              </w:rPr>
              <w:t>・</w:t>
            </w:r>
            <w:r w:rsidR="00075DF2" w:rsidRPr="00D15551">
              <w:rPr>
                <w:rFonts w:ascii="ＭＳ 明朝" w:eastAsia="ＭＳ 明朝" w:hAnsi="ＭＳ 明朝" w:cs="ＭＳ 明朝" w:hint="eastAsia"/>
                <w:sz w:val="16"/>
                <w:szCs w:val="16"/>
              </w:rPr>
              <w:t>文章は丁寧でわかりやすい表現になっている。また</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簡潔でわかりやすい図やイラストが随所に掲載</w:t>
            </w:r>
            <w:r w:rsidR="00075DF2" w:rsidRPr="00D15551">
              <w:rPr>
                <w:rFonts w:ascii="ＭＳ 明朝" w:eastAsia="ＭＳ 明朝" w:hAnsi="ＭＳ 明朝" w:cs="游明朝" w:hint="eastAsia"/>
                <w:sz w:val="16"/>
                <w:szCs w:val="16"/>
              </w:rPr>
              <w:t>されている。</w:t>
            </w:r>
          </w:p>
          <w:p w:rsidR="00075DF2" w:rsidRPr="00D15551" w:rsidRDefault="009C2CEA" w:rsidP="00647D27">
            <w:pPr>
              <w:spacing w:line="0" w:lineRule="atLeast"/>
              <w:ind w:left="160" w:hangingChars="100" w:hanging="160"/>
              <w:rPr>
                <w:rFonts w:ascii="ＭＳ 明朝" w:eastAsia="ＭＳ 明朝" w:hAnsi="ＭＳ 明朝" w:cs="游明朝"/>
                <w:sz w:val="16"/>
                <w:szCs w:val="16"/>
              </w:rPr>
            </w:pPr>
            <w:r w:rsidRPr="00D15551">
              <w:rPr>
                <w:rFonts w:ascii="ＭＳ 明朝" w:eastAsia="ＭＳ 明朝" w:hAnsi="ＭＳ 明朝" w:cs="Malgun Gothic" w:hint="eastAsia"/>
                <w:sz w:val="16"/>
                <w:szCs w:val="16"/>
              </w:rPr>
              <w:t>・</w:t>
            </w:r>
            <w:r w:rsidR="00075DF2" w:rsidRPr="00D15551">
              <w:rPr>
                <w:rFonts w:ascii="ＭＳ 明朝" w:eastAsia="ＭＳ 明朝" w:hAnsi="ＭＳ 明朝" w:cs="ＭＳ 明朝" w:hint="eastAsia"/>
                <w:sz w:val="16"/>
                <w:szCs w:val="16"/>
              </w:rPr>
              <w:t>中学校での既習の内容</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観察・実験の方法や結果</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教科書の図版だけでは理解しにくい内容などにつ</w:t>
            </w:r>
            <w:r w:rsidR="00075DF2" w:rsidRPr="00D15551">
              <w:rPr>
                <w:rFonts w:ascii="ＭＳ 明朝" w:eastAsia="ＭＳ 明朝" w:hAnsi="ＭＳ 明朝" w:cs="游明朝" w:hint="eastAsia"/>
                <w:sz w:val="16"/>
                <w:szCs w:val="16"/>
              </w:rPr>
              <w:t>いて</w:t>
            </w:r>
            <w:r w:rsidR="00D15551" w:rsidRPr="00D15551">
              <w:rPr>
                <w:rFonts w:ascii="ＭＳ 明朝" w:eastAsia="ＭＳ 明朝" w:hAnsi="ＭＳ 明朝" w:cs="游明朝" w:hint="eastAsia"/>
                <w:sz w:val="16"/>
                <w:szCs w:val="16"/>
              </w:rPr>
              <w:t>、</w:t>
            </w:r>
            <w:r w:rsidR="00075DF2" w:rsidRPr="00D15551">
              <w:rPr>
                <w:rFonts w:ascii="ＭＳ 明朝" w:eastAsia="ＭＳ 明朝" w:hAnsi="ＭＳ 明朝" w:cs="游明朝" w:hint="eastAsia"/>
                <w:sz w:val="16"/>
                <w:szCs w:val="16"/>
              </w:rPr>
              <w:t>二次元コードで情報を収集したり</w:t>
            </w:r>
            <w:r w:rsidR="00D15551" w:rsidRPr="00D15551">
              <w:rPr>
                <w:rFonts w:ascii="ＭＳ 明朝" w:eastAsia="ＭＳ 明朝" w:hAnsi="ＭＳ 明朝" w:cs="游明朝" w:hint="eastAsia"/>
                <w:sz w:val="16"/>
                <w:szCs w:val="16"/>
              </w:rPr>
              <w:t>、</w:t>
            </w:r>
            <w:r w:rsidR="00075DF2" w:rsidRPr="00D15551">
              <w:rPr>
                <w:rFonts w:ascii="ＭＳ 明朝" w:eastAsia="ＭＳ 明朝" w:hAnsi="ＭＳ 明朝" w:cs="游明朝" w:hint="eastAsia"/>
                <w:sz w:val="16"/>
                <w:szCs w:val="16"/>
              </w:rPr>
              <w:t>動画で確認したり</w:t>
            </w:r>
            <w:r w:rsidR="00D15551" w:rsidRPr="00D15551">
              <w:rPr>
                <w:rFonts w:ascii="ＭＳ 明朝" w:eastAsia="ＭＳ 明朝" w:hAnsi="ＭＳ 明朝" w:cs="游明朝" w:hint="eastAsia"/>
                <w:sz w:val="16"/>
                <w:szCs w:val="16"/>
              </w:rPr>
              <w:t>、</w:t>
            </w:r>
            <w:r w:rsidR="00075DF2" w:rsidRPr="00D15551">
              <w:rPr>
                <w:rFonts w:ascii="ＭＳ 明朝" w:eastAsia="ＭＳ 明朝" w:hAnsi="ＭＳ 明朝" w:cs="游明朝" w:hint="eastAsia"/>
                <w:sz w:val="16"/>
                <w:szCs w:val="16"/>
              </w:rPr>
              <w:t>アニメーションなどで理解を深めたりできるように工夫されている。</w:t>
            </w:r>
          </w:p>
          <w:p w:rsidR="000B06D6" w:rsidRPr="008B0650" w:rsidRDefault="009C2CEA" w:rsidP="008B0650">
            <w:pPr>
              <w:spacing w:line="0" w:lineRule="atLeast"/>
              <w:ind w:left="133" w:hangingChars="83" w:hanging="133"/>
              <w:rPr>
                <w:rFonts w:ascii="ＭＳ 明朝" w:eastAsia="ＭＳ 明朝" w:hAnsi="ＭＳ 明朝" w:cs="ＭＳ 明朝"/>
                <w:sz w:val="16"/>
                <w:szCs w:val="16"/>
              </w:rPr>
            </w:pPr>
            <w:r w:rsidRPr="00D15551">
              <w:rPr>
                <w:rFonts w:ascii="ＭＳ 明朝" w:eastAsia="ＭＳ 明朝" w:hAnsi="ＭＳ 明朝" w:cs="Malgun Gothic" w:hint="eastAsia"/>
                <w:sz w:val="16"/>
                <w:szCs w:val="16"/>
              </w:rPr>
              <w:t>・</w:t>
            </w:r>
            <w:r w:rsidR="00075DF2" w:rsidRPr="00D15551">
              <w:rPr>
                <w:rFonts w:ascii="ＭＳ 明朝" w:eastAsia="ＭＳ 明朝" w:hAnsi="ＭＳ 明朝" w:cs="ＭＳ 明朝" w:hint="eastAsia"/>
                <w:sz w:val="16"/>
                <w:szCs w:val="16"/>
              </w:rPr>
              <w:t>指導資料</w:t>
            </w:r>
            <w:r w:rsidR="008B0650">
              <w:rPr>
                <w:rFonts w:ascii="ＭＳ 明朝" w:eastAsia="ＭＳ 明朝" w:hAnsi="ＭＳ 明朝" w:cs="ＭＳ 明朝" w:hint="eastAsia"/>
                <w:sz w:val="16"/>
                <w:szCs w:val="16"/>
              </w:rPr>
              <w:t>については、</w:t>
            </w:r>
            <w:r w:rsidR="00075DF2" w:rsidRPr="00D15551">
              <w:rPr>
                <w:rFonts w:ascii="ＭＳ 明朝" w:eastAsia="ＭＳ 明朝" w:hAnsi="ＭＳ 明朝" w:cs="ＭＳ 明朝" w:hint="eastAsia"/>
                <w:sz w:val="16"/>
                <w:szCs w:val="16"/>
              </w:rPr>
              <w:t>「授業プリント」や「デジタル板書」</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「動画」などのデジタル教材が充実しており</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游明朝"/>
                <w:sz w:val="16"/>
                <w:szCs w:val="16"/>
              </w:rPr>
              <w:t>ICT</w:t>
            </w:r>
            <w:r w:rsidR="00075DF2" w:rsidRPr="00D15551">
              <w:rPr>
                <w:rFonts w:ascii="ＭＳ 明朝" w:eastAsia="ＭＳ 明朝" w:hAnsi="ＭＳ 明朝" w:cs="游明朝" w:hint="eastAsia"/>
                <w:sz w:val="16"/>
                <w:szCs w:val="16"/>
              </w:rPr>
              <w:t>を活用した授業に対応している。オンラインでの授業への対応も可能である。</w:t>
            </w:r>
          </w:p>
        </w:tc>
      </w:tr>
      <w:tr w:rsidR="000B06D6" w:rsidRPr="000B06D6" w:rsidTr="00647D27">
        <w:trPr>
          <w:cantSplit/>
          <w:trHeight w:val="1975"/>
        </w:trPr>
        <w:tc>
          <w:tcPr>
            <w:tcW w:w="704" w:type="dxa"/>
            <w:textDirection w:val="tbRlV"/>
          </w:tcPr>
          <w:p w:rsidR="000B06D6" w:rsidRPr="009A0D71" w:rsidRDefault="000B06D6" w:rsidP="00C96E8A">
            <w:pPr>
              <w:spacing w:beforeLines="50" w:before="180"/>
              <w:ind w:left="113" w:right="113"/>
              <w:jc w:val="left"/>
              <w:rPr>
                <w:rFonts w:ascii="ＭＳ ゴシック" w:eastAsia="ＭＳ ゴシック" w:hAnsi="ＭＳ ゴシック"/>
                <w:sz w:val="18"/>
                <w:szCs w:val="18"/>
              </w:rPr>
            </w:pPr>
            <w:r w:rsidRPr="009A0D71">
              <w:rPr>
                <w:rFonts w:ascii="ＭＳ ゴシック" w:eastAsia="ＭＳ ゴシック" w:hAnsi="ＭＳ ゴシック"/>
                <w:sz w:val="18"/>
                <w:szCs w:val="18"/>
              </w:rPr>
              <w:lastRenderedPageBreak/>
              <w:t>印刷・造本上の配慮</w:t>
            </w:r>
          </w:p>
        </w:tc>
        <w:tc>
          <w:tcPr>
            <w:tcW w:w="2693" w:type="dxa"/>
          </w:tcPr>
          <w:p w:rsidR="00075DF2" w:rsidRPr="00075DF2" w:rsidRDefault="009C2CEA" w:rsidP="00647D27">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印刷の鮮明さ</w:t>
            </w:r>
            <w:r w:rsidR="00D15551">
              <w:rPr>
                <w:rFonts w:ascii="ＭＳ 明朝" w:eastAsia="ＭＳ 明朝" w:hAnsi="ＭＳ 明朝" w:cs="ＭＳ 明朝" w:hint="eastAsia"/>
                <w:sz w:val="16"/>
                <w:szCs w:val="16"/>
              </w:rPr>
              <w:t>、</w:t>
            </w:r>
            <w:r w:rsidR="00075DF2" w:rsidRPr="00075DF2">
              <w:rPr>
                <w:rFonts w:ascii="ＭＳ 明朝" w:eastAsia="ＭＳ 明朝" w:hAnsi="ＭＳ 明朝" w:cs="ＭＳ 明朝" w:hint="eastAsia"/>
                <w:sz w:val="16"/>
                <w:szCs w:val="16"/>
              </w:rPr>
              <w:t>活字の大きさ</w:t>
            </w:r>
            <w:r w:rsidR="00D15551">
              <w:rPr>
                <w:rFonts w:ascii="ＭＳ 明朝" w:eastAsia="ＭＳ 明朝" w:hAnsi="ＭＳ 明朝" w:cs="ＭＳ 明朝" w:hint="eastAsia"/>
                <w:sz w:val="16"/>
                <w:szCs w:val="16"/>
              </w:rPr>
              <w:t>、</w:t>
            </w:r>
            <w:r w:rsidR="00075DF2" w:rsidRPr="00075DF2">
              <w:rPr>
                <w:rFonts w:ascii="ＭＳ 明朝" w:eastAsia="ＭＳ 明朝" w:hAnsi="ＭＳ 明朝" w:cs="ＭＳ 明朝" w:hint="eastAsia"/>
                <w:sz w:val="16"/>
                <w:szCs w:val="16"/>
              </w:rPr>
              <w:t>行間</w:t>
            </w:r>
            <w:r w:rsidR="00D15551">
              <w:rPr>
                <w:rFonts w:ascii="ＭＳ 明朝" w:eastAsia="ＭＳ 明朝" w:hAnsi="ＭＳ 明朝" w:cs="ＭＳ 明朝" w:hint="eastAsia"/>
                <w:sz w:val="16"/>
                <w:szCs w:val="16"/>
              </w:rPr>
              <w:t>、</w:t>
            </w:r>
            <w:r w:rsidR="00075DF2" w:rsidRPr="00075DF2">
              <w:rPr>
                <w:rFonts w:ascii="ＭＳ 明朝" w:eastAsia="ＭＳ 明朝" w:hAnsi="ＭＳ 明朝" w:cs="ＭＳ 明朝" w:hint="eastAsia"/>
                <w:sz w:val="16"/>
                <w:szCs w:val="16"/>
              </w:rPr>
              <w:t>製本</w:t>
            </w:r>
            <w:r w:rsidR="00075DF2" w:rsidRPr="00075DF2">
              <w:rPr>
                <w:rFonts w:ascii="ＭＳ 明朝" w:eastAsia="ＭＳ 明朝" w:hAnsi="ＭＳ 明朝" w:hint="eastAsia"/>
                <w:sz w:val="16"/>
                <w:szCs w:val="16"/>
              </w:rPr>
              <w:t>などは適切か。</w:t>
            </w:r>
          </w:p>
          <w:p w:rsidR="000B06D6" w:rsidRPr="009A0D71" w:rsidRDefault="009C2CEA" w:rsidP="00647D27">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環境保全や生徒の多様な特性に</w:t>
            </w:r>
            <w:r w:rsidR="00075DF2" w:rsidRPr="00075DF2">
              <w:rPr>
                <w:rFonts w:ascii="ＭＳ 明朝" w:eastAsia="ＭＳ 明朝" w:hAnsi="ＭＳ 明朝" w:hint="eastAsia"/>
                <w:sz w:val="16"/>
                <w:szCs w:val="16"/>
              </w:rPr>
              <w:t>対して配慮しているか</w:t>
            </w:r>
            <w:r w:rsidR="00C96E8A">
              <w:rPr>
                <w:rFonts w:ascii="ＭＳ 明朝" w:eastAsia="ＭＳ 明朝" w:hAnsi="ＭＳ 明朝" w:hint="eastAsia"/>
                <w:sz w:val="16"/>
                <w:szCs w:val="16"/>
              </w:rPr>
              <w:t>。</w:t>
            </w:r>
          </w:p>
        </w:tc>
        <w:tc>
          <w:tcPr>
            <w:tcW w:w="6379" w:type="dxa"/>
          </w:tcPr>
          <w:p w:rsidR="00075DF2" w:rsidRPr="00D15551" w:rsidRDefault="009C2CEA" w:rsidP="00647D27">
            <w:pPr>
              <w:spacing w:line="0" w:lineRule="atLeast"/>
              <w:ind w:left="160" w:hangingChars="100" w:hanging="160"/>
              <w:rPr>
                <w:rFonts w:ascii="ＭＳ 明朝" w:eastAsia="ＭＳ 明朝" w:hAnsi="ＭＳ 明朝"/>
                <w:sz w:val="16"/>
                <w:szCs w:val="16"/>
              </w:rPr>
            </w:pPr>
            <w:r w:rsidRPr="00D15551">
              <w:rPr>
                <w:rFonts w:ascii="ＭＳ 明朝" w:eastAsia="ＭＳ 明朝" w:hAnsi="ＭＳ 明朝" w:cs="Malgun Gothic" w:hint="eastAsia"/>
                <w:sz w:val="16"/>
                <w:szCs w:val="16"/>
              </w:rPr>
              <w:t>・</w:t>
            </w:r>
            <w:r w:rsidR="00075DF2" w:rsidRPr="00D15551">
              <w:rPr>
                <w:rFonts w:ascii="ＭＳ 明朝" w:eastAsia="ＭＳ 明朝" w:hAnsi="ＭＳ 明朝" w:cs="ＭＳ 明朝" w:hint="eastAsia"/>
                <w:sz w:val="16"/>
                <w:szCs w:val="16"/>
              </w:rPr>
              <w:t>製本は針金を使用せず接着剤で製本してあり</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金属を使用しないことによるリサイクル性を重視して</w:t>
            </w:r>
            <w:r w:rsidR="00075DF2" w:rsidRPr="00D15551">
              <w:rPr>
                <w:rFonts w:ascii="ＭＳ 明朝" w:eastAsia="ＭＳ 明朝" w:hAnsi="ＭＳ 明朝" w:hint="eastAsia"/>
                <w:sz w:val="16"/>
                <w:szCs w:val="16"/>
              </w:rPr>
              <w:t>いる。</w:t>
            </w:r>
          </w:p>
          <w:p w:rsidR="00075DF2" w:rsidRPr="00D15551" w:rsidRDefault="009C2CEA" w:rsidP="00647D27">
            <w:pPr>
              <w:spacing w:line="0" w:lineRule="atLeast"/>
              <w:rPr>
                <w:rFonts w:ascii="ＭＳ 明朝" w:eastAsia="ＭＳ 明朝" w:hAnsi="ＭＳ 明朝"/>
                <w:sz w:val="16"/>
                <w:szCs w:val="16"/>
              </w:rPr>
            </w:pPr>
            <w:r w:rsidRPr="00D15551">
              <w:rPr>
                <w:rFonts w:ascii="ＭＳ 明朝" w:eastAsia="ＭＳ 明朝" w:hAnsi="ＭＳ 明朝" w:cs="Malgun Gothic" w:hint="eastAsia"/>
                <w:sz w:val="16"/>
                <w:szCs w:val="16"/>
              </w:rPr>
              <w:t>・</w:t>
            </w:r>
            <w:r w:rsidR="00075DF2" w:rsidRPr="00D15551">
              <w:rPr>
                <w:rFonts w:ascii="ＭＳ 明朝" w:eastAsia="ＭＳ 明朝" w:hAnsi="ＭＳ 明朝" w:cs="ＭＳ 明朝" w:hint="eastAsia"/>
                <w:sz w:val="16"/>
                <w:szCs w:val="16"/>
              </w:rPr>
              <w:t>本の中心までページを開くことができる製</w:t>
            </w:r>
            <w:r w:rsidR="00075DF2" w:rsidRPr="00D15551">
              <w:rPr>
                <w:rFonts w:ascii="ＭＳ 明朝" w:eastAsia="ＭＳ 明朝" w:hAnsi="ＭＳ 明朝" w:hint="eastAsia"/>
                <w:sz w:val="16"/>
                <w:szCs w:val="16"/>
              </w:rPr>
              <w:t>本のため</w:t>
            </w:r>
            <w:r w:rsidR="00D15551" w:rsidRPr="00D15551">
              <w:rPr>
                <w:rFonts w:ascii="ＭＳ 明朝" w:eastAsia="ＭＳ 明朝" w:hAnsi="ＭＳ 明朝" w:hint="eastAsia"/>
                <w:sz w:val="16"/>
                <w:szCs w:val="16"/>
              </w:rPr>
              <w:t>、</w:t>
            </w:r>
            <w:r w:rsidR="00075DF2" w:rsidRPr="00D15551">
              <w:rPr>
                <w:rFonts w:ascii="ＭＳ 明朝" w:eastAsia="ＭＳ 明朝" w:hAnsi="ＭＳ 明朝" w:hint="eastAsia"/>
                <w:sz w:val="16"/>
                <w:szCs w:val="16"/>
              </w:rPr>
              <w:t>生徒が使いやすくなっている。</w:t>
            </w:r>
          </w:p>
          <w:p w:rsidR="00075DF2" w:rsidRPr="00D15551" w:rsidRDefault="009C2CEA" w:rsidP="009C2CEA">
            <w:pPr>
              <w:spacing w:line="0" w:lineRule="atLeast"/>
              <w:rPr>
                <w:rFonts w:ascii="ＭＳ 明朝" w:eastAsia="ＭＳ 明朝" w:hAnsi="ＭＳ 明朝"/>
                <w:sz w:val="16"/>
                <w:szCs w:val="16"/>
              </w:rPr>
            </w:pPr>
            <w:r w:rsidRPr="00D15551">
              <w:rPr>
                <w:rFonts w:ascii="ＭＳ 明朝" w:eastAsia="ＭＳ 明朝" w:hAnsi="ＭＳ 明朝" w:cs="Malgun Gothic" w:hint="eastAsia"/>
                <w:sz w:val="16"/>
                <w:szCs w:val="16"/>
              </w:rPr>
              <w:t>・</w:t>
            </w:r>
            <w:r w:rsidR="00075DF2" w:rsidRPr="00D15551">
              <w:rPr>
                <w:rFonts w:ascii="ＭＳ 明朝" w:eastAsia="ＭＳ 明朝" w:hAnsi="ＭＳ 明朝" w:cs="ＭＳ 明朝" w:hint="eastAsia"/>
                <w:sz w:val="16"/>
                <w:szCs w:val="16"/>
              </w:rPr>
              <w:t>生徒の負担に配慮し</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紙は品質を保持しつつ軽量な紙を使用している。</w:t>
            </w:r>
          </w:p>
          <w:p w:rsidR="00075DF2" w:rsidRPr="00D15551" w:rsidRDefault="009C2CEA" w:rsidP="009C2CEA">
            <w:pPr>
              <w:spacing w:line="0" w:lineRule="atLeast"/>
              <w:rPr>
                <w:rFonts w:ascii="ＭＳ 明朝" w:eastAsia="ＭＳ 明朝" w:hAnsi="ＭＳ 明朝"/>
                <w:sz w:val="16"/>
                <w:szCs w:val="16"/>
              </w:rPr>
            </w:pPr>
            <w:r w:rsidRPr="00D15551">
              <w:rPr>
                <w:rFonts w:ascii="ＭＳ 明朝" w:eastAsia="ＭＳ 明朝" w:hAnsi="ＭＳ 明朝" w:cs="Malgun Gothic" w:hint="eastAsia"/>
                <w:sz w:val="16"/>
                <w:szCs w:val="16"/>
              </w:rPr>
              <w:t>・</w:t>
            </w:r>
            <w:r w:rsidR="00075DF2" w:rsidRPr="00D15551">
              <w:rPr>
                <w:rFonts w:ascii="ＭＳ 明朝" w:eastAsia="ＭＳ 明朝" w:hAnsi="ＭＳ 明朝" w:cs="ＭＳ 明朝" w:hint="eastAsia"/>
                <w:sz w:val="16"/>
                <w:szCs w:val="16"/>
              </w:rPr>
              <w:t>用紙には再生紙を</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インキには植物油インキを使用している。</w:t>
            </w:r>
          </w:p>
          <w:p w:rsidR="000B06D6" w:rsidRPr="00D15551" w:rsidRDefault="009C2CEA" w:rsidP="00D16064">
            <w:pPr>
              <w:spacing w:line="0" w:lineRule="atLeast"/>
              <w:ind w:leftChars="1" w:left="133" w:hangingChars="82" w:hanging="131"/>
              <w:rPr>
                <w:rFonts w:ascii="ＭＳ 明朝" w:eastAsia="ＭＳ 明朝" w:hAnsi="ＭＳ 明朝"/>
                <w:sz w:val="16"/>
                <w:szCs w:val="16"/>
              </w:rPr>
            </w:pPr>
            <w:r w:rsidRPr="00D15551">
              <w:rPr>
                <w:rFonts w:ascii="ＭＳ 明朝" w:eastAsia="ＭＳ 明朝" w:hAnsi="ＭＳ 明朝" w:cs="ＭＳ ゴシック" w:hint="eastAsia"/>
                <w:sz w:val="16"/>
                <w:szCs w:val="16"/>
              </w:rPr>
              <w:t>・</w:t>
            </w:r>
            <w:r w:rsidR="00075DF2" w:rsidRPr="00D15551">
              <w:rPr>
                <w:rFonts w:ascii="ＭＳ 明朝" w:eastAsia="ＭＳ 明朝" w:hAnsi="ＭＳ 明朝" w:cs="ＭＳ 明朝" w:hint="eastAsia"/>
                <w:sz w:val="16"/>
                <w:szCs w:val="16"/>
              </w:rPr>
              <w:t>レイアウト</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色づかいなど</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ユニバーサルデザインに配慮されている。また</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見や</w:t>
            </w:r>
            <w:r w:rsidR="00075DF2" w:rsidRPr="00D15551">
              <w:rPr>
                <w:rFonts w:ascii="ＭＳ 明朝" w:eastAsia="ＭＳ 明朝" w:hAnsi="ＭＳ 明朝" w:hint="eastAsia"/>
                <w:sz w:val="16"/>
                <w:szCs w:val="16"/>
              </w:rPr>
              <w:t>すく読み間違えにくいユニバーサルデザインフォントを使用している。</w:t>
            </w:r>
          </w:p>
        </w:tc>
      </w:tr>
      <w:tr w:rsidR="000B06D6" w:rsidRPr="000B06D6" w:rsidTr="00647D27">
        <w:trPr>
          <w:cantSplit/>
          <w:trHeight w:val="1134"/>
        </w:trPr>
        <w:tc>
          <w:tcPr>
            <w:tcW w:w="704" w:type="dxa"/>
            <w:textDirection w:val="tbRlV"/>
          </w:tcPr>
          <w:p w:rsidR="000B06D6" w:rsidRPr="009A0D71" w:rsidRDefault="000B06D6" w:rsidP="00C96E8A">
            <w:pPr>
              <w:spacing w:beforeLines="50" w:before="180"/>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総合所見</w:t>
            </w:r>
          </w:p>
        </w:tc>
        <w:tc>
          <w:tcPr>
            <w:tcW w:w="2693" w:type="dxa"/>
          </w:tcPr>
          <w:p w:rsidR="009A0D71" w:rsidRPr="009A0D71" w:rsidRDefault="009C2CEA" w:rsidP="00647D27">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075DF2" w:rsidRPr="00075DF2">
              <w:rPr>
                <w:rFonts w:ascii="ＭＳ 明朝" w:eastAsia="ＭＳ 明朝" w:hAnsi="ＭＳ 明朝" w:cs="ＭＳ 明朝" w:hint="eastAsia"/>
                <w:sz w:val="16"/>
                <w:szCs w:val="16"/>
              </w:rPr>
              <w:t>上記観点からみた</w:t>
            </w:r>
            <w:r w:rsidR="00D15551">
              <w:rPr>
                <w:rFonts w:ascii="ＭＳ 明朝" w:eastAsia="ＭＳ 明朝" w:hAnsi="ＭＳ 明朝" w:cs="ＭＳ 明朝" w:hint="eastAsia"/>
                <w:sz w:val="16"/>
                <w:szCs w:val="16"/>
              </w:rPr>
              <w:t>、</w:t>
            </w:r>
            <w:r w:rsidR="00075DF2" w:rsidRPr="00075DF2">
              <w:rPr>
                <w:rFonts w:ascii="ＭＳ 明朝" w:eastAsia="ＭＳ 明朝" w:hAnsi="ＭＳ 明朝" w:cs="ＭＳ 明朝" w:hint="eastAsia"/>
                <w:sz w:val="16"/>
                <w:szCs w:val="16"/>
              </w:rPr>
              <w:t>全体的・総合的な当教</w:t>
            </w:r>
            <w:r w:rsidR="00075DF2" w:rsidRPr="00075DF2">
              <w:rPr>
                <w:rFonts w:ascii="ＭＳ 明朝" w:eastAsia="ＭＳ 明朝" w:hAnsi="ＭＳ 明朝" w:hint="eastAsia"/>
                <w:sz w:val="16"/>
                <w:szCs w:val="16"/>
              </w:rPr>
              <w:t>科書の特徴。</w:t>
            </w:r>
          </w:p>
        </w:tc>
        <w:tc>
          <w:tcPr>
            <w:tcW w:w="6379" w:type="dxa"/>
          </w:tcPr>
          <w:p w:rsidR="00075DF2" w:rsidRPr="00D15551" w:rsidRDefault="009C2CEA" w:rsidP="00647D27">
            <w:pPr>
              <w:spacing w:line="0" w:lineRule="atLeast"/>
              <w:ind w:left="160" w:hangingChars="100" w:hanging="160"/>
              <w:rPr>
                <w:rFonts w:ascii="ＭＳ 明朝" w:eastAsia="ＭＳ 明朝" w:hAnsi="ＭＳ 明朝"/>
                <w:sz w:val="16"/>
                <w:szCs w:val="16"/>
              </w:rPr>
            </w:pPr>
            <w:r w:rsidRPr="00D15551">
              <w:rPr>
                <w:rFonts w:ascii="ＭＳ 明朝" w:eastAsia="ＭＳ 明朝" w:hAnsi="ＭＳ 明朝" w:cs="Malgun Gothic" w:hint="eastAsia"/>
                <w:sz w:val="16"/>
                <w:szCs w:val="16"/>
              </w:rPr>
              <w:t>・</w:t>
            </w:r>
            <w:r w:rsidR="00075DF2" w:rsidRPr="00D15551">
              <w:rPr>
                <w:rFonts w:ascii="ＭＳ 明朝" w:eastAsia="ＭＳ 明朝" w:hAnsi="ＭＳ 明朝" w:cs="ＭＳ 明朝" w:hint="eastAsia"/>
                <w:sz w:val="16"/>
                <w:szCs w:val="16"/>
              </w:rPr>
              <w:t>生徒に難解な印象を与えない構成</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内容で</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学習の</w:t>
            </w:r>
            <w:r w:rsidR="00075DF2" w:rsidRPr="00D15551">
              <w:rPr>
                <w:rFonts w:ascii="ＭＳ 明朝" w:eastAsia="ＭＳ 明朝" w:hAnsi="ＭＳ 明朝" w:hint="eastAsia"/>
                <w:sz w:val="16"/>
                <w:szCs w:val="16"/>
              </w:rPr>
              <w:t>要点が確実に押さえられるとともに</w:t>
            </w:r>
            <w:r w:rsidR="00D15551" w:rsidRPr="00D15551">
              <w:rPr>
                <w:rFonts w:ascii="ＭＳ 明朝" w:eastAsia="ＭＳ 明朝" w:hAnsi="ＭＳ 明朝" w:hint="eastAsia"/>
                <w:sz w:val="16"/>
                <w:szCs w:val="16"/>
              </w:rPr>
              <w:t>、</w:t>
            </w:r>
            <w:r w:rsidR="00075DF2" w:rsidRPr="00D15551">
              <w:rPr>
                <w:rFonts w:ascii="ＭＳ 明朝" w:eastAsia="ＭＳ 明朝" w:hAnsi="ＭＳ 明朝" w:hint="eastAsia"/>
                <w:sz w:val="16"/>
                <w:szCs w:val="16"/>
              </w:rPr>
              <w:t>日常生活や社会と化学を結びつける工夫がされており</w:t>
            </w:r>
            <w:r w:rsidR="00D15551" w:rsidRPr="00D15551">
              <w:rPr>
                <w:rFonts w:ascii="ＭＳ 明朝" w:eastAsia="ＭＳ 明朝" w:hAnsi="ＭＳ 明朝" w:hint="eastAsia"/>
                <w:sz w:val="16"/>
                <w:szCs w:val="16"/>
              </w:rPr>
              <w:t>、</w:t>
            </w:r>
            <w:r w:rsidR="00075DF2" w:rsidRPr="00D15551">
              <w:rPr>
                <w:rFonts w:ascii="ＭＳ 明朝" w:eastAsia="ＭＳ 明朝" w:hAnsi="ＭＳ 明朝" w:hint="eastAsia"/>
                <w:sz w:val="16"/>
                <w:szCs w:val="16"/>
              </w:rPr>
              <w:t>生徒が自ら楽しく学習を進め</w:t>
            </w:r>
            <w:r w:rsidR="00D15551" w:rsidRPr="00D15551">
              <w:rPr>
                <w:rFonts w:ascii="ＭＳ 明朝" w:eastAsia="ＭＳ 明朝" w:hAnsi="ＭＳ 明朝" w:hint="eastAsia"/>
                <w:sz w:val="16"/>
                <w:szCs w:val="16"/>
              </w:rPr>
              <w:t>、</w:t>
            </w:r>
            <w:r w:rsidR="00075DF2" w:rsidRPr="00D15551">
              <w:rPr>
                <w:rFonts w:ascii="ＭＳ 明朝" w:eastAsia="ＭＳ 明朝" w:hAnsi="ＭＳ 明朝" w:hint="eastAsia"/>
                <w:sz w:val="16"/>
                <w:szCs w:val="16"/>
              </w:rPr>
              <w:t>確かな力が身につく教科書である。丁寧でわかりやすい文章で展開されており</w:t>
            </w:r>
            <w:r w:rsidR="00D15551" w:rsidRPr="00D15551">
              <w:rPr>
                <w:rFonts w:ascii="ＭＳ 明朝" w:eastAsia="ＭＳ 明朝" w:hAnsi="ＭＳ 明朝" w:hint="eastAsia"/>
                <w:sz w:val="16"/>
                <w:szCs w:val="16"/>
              </w:rPr>
              <w:t>、</w:t>
            </w:r>
            <w:r w:rsidR="00075DF2" w:rsidRPr="00D15551">
              <w:rPr>
                <w:rFonts w:ascii="ＭＳ 明朝" w:eastAsia="ＭＳ 明朝" w:hAnsi="ＭＳ 明朝" w:hint="eastAsia"/>
                <w:sz w:val="16"/>
                <w:szCs w:val="16"/>
              </w:rPr>
              <w:t>理科を苦手とする生徒でも読みやすくわかりやすい教科書である。</w:t>
            </w:r>
          </w:p>
          <w:p w:rsidR="000B06D6" w:rsidRPr="00D15551" w:rsidRDefault="009C2CEA" w:rsidP="00647D27">
            <w:pPr>
              <w:spacing w:line="0" w:lineRule="atLeast"/>
              <w:ind w:left="160" w:hangingChars="100" w:hanging="160"/>
              <w:rPr>
                <w:rFonts w:ascii="ＭＳ 明朝" w:eastAsia="ＭＳ 明朝" w:hAnsi="ＭＳ 明朝"/>
                <w:sz w:val="16"/>
                <w:szCs w:val="16"/>
              </w:rPr>
            </w:pPr>
            <w:r w:rsidRPr="00D15551">
              <w:rPr>
                <w:rFonts w:ascii="ＭＳ 明朝" w:eastAsia="ＭＳ 明朝" w:hAnsi="ＭＳ 明朝" w:cs="Malgun Gothic" w:hint="eastAsia"/>
                <w:sz w:val="16"/>
                <w:szCs w:val="16"/>
              </w:rPr>
              <w:t>・</w:t>
            </w:r>
            <w:r w:rsidR="00075DF2" w:rsidRPr="00D15551">
              <w:rPr>
                <w:rFonts w:ascii="ＭＳ 明朝" w:eastAsia="ＭＳ 明朝" w:hAnsi="ＭＳ 明朝" w:cs="ＭＳ 明朝" w:hint="eastAsia"/>
                <w:sz w:val="16"/>
                <w:szCs w:val="16"/>
              </w:rPr>
              <w:t>授業の流れやポイント</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中学校での既習の内容との関連がわかりやすく示されており</w:t>
            </w:r>
            <w:r w:rsidR="00D15551" w:rsidRPr="00D15551">
              <w:rPr>
                <w:rFonts w:ascii="ＭＳ 明朝" w:eastAsia="ＭＳ 明朝" w:hAnsi="ＭＳ 明朝" w:cs="ＭＳ 明朝" w:hint="eastAsia"/>
                <w:sz w:val="16"/>
                <w:szCs w:val="16"/>
              </w:rPr>
              <w:t>、</w:t>
            </w:r>
            <w:r w:rsidR="00075DF2" w:rsidRPr="00D15551">
              <w:rPr>
                <w:rFonts w:ascii="ＭＳ 明朝" w:eastAsia="ＭＳ 明朝" w:hAnsi="ＭＳ 明朝" w:cs="ＭＳ 明朝" w:hint="eastAsia"/>
                <w:sz w:val="16"/>
                <w:szCs w:val="16"/>
              </w:rPr>
              <w:t>教師にとって</w:t>
            </w:r>
            <w:r w:rsidR="00075DF2" w:rsidRPr="00D15551">
              <w:rPr>
                <w:rFonts w:ascii="ＭＳ 明朝" w:eastAsia="ＭＳ 明朝" w:hAnsi="ＭＳ 明朝" w:hint="eastAsia"/>
                <w:sz w:val="16"/>
                <w:szCs w:val="16"/>
              </w:rPr>
              <w:t>指導しやすく</w:t>
            </w:r>
            <w:r w:rsidR="00D15551" w:rsidRPr="00D15551">
              <w:rPr>
                <w:rFonts w:ascii="ＭＳ 明朝" w:eastAsia="ＭＳ 明朝" w:hAnsi="ＭＳ 明朝" w:hint="eastAsia"/>
                <w:sz w:val="16"/>
                <w:szCs w:val="16"/>
              </w:rPr>
              <w:t>、</w:t>
            </w:r>
            <w:r w:rsidR="00075DF2" w:rsidRPr="00D15551">
              <w:rPr>
                <w:rFonts w:ascii="ＭＳ 明朝" w:eastAsia="ＭＳ 明朝" w:hAnsi="ＭＳ 明朝" w:hint="eastAsia"/>
                <w:sz w:val="16"/>
                <w:szCs w:val="16"/>
              </w:rPr>
              <w:t>授業を楽しく豊かにするための参考となる教科書である。</w:t>
            </w:r>
          </w:p>
        </w:tc>
      </w:tr>
    </w:tbl>
    <w:p w:rsidR="000B06D6" w:rsidRPr="000B06D6" w:rsidRDefault="000B06D6" w:rsidP="000B06D6">
      <w:pPr>
        <w:spacing w:line="0" w:lineRule="atLeast"/>
        <w:rPr>
          <w:rFonts w:ascii="ＭＳ 明朝" w:eastAsia="ＭＳ 明朝" w:hAnsi="ＭＳ 明朝"/>
          <w:sz w:val="16"/>
          <w:szCs w:val="16"/>
        </w:rPr>
      </w:pPr>
    </w:p>
    <w:sectPr w:rsidR="000B06D6" w:rsidRPr="000B06D6" w:rsidSect="000B06D6">
      <w:pgSz w:w="11906" w:h="16838"/>
      <w:pgMar w:top="993" w:right="99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E5D" w:rsidRDefault="00501E5D" w:rsidP="00647D27">
      <w:r>
        <w:separator/>
      </w:r>
    </w:p>
  </w:endnote>
  <w:endnote w:type="continuationSeparator" w:id="0">
    <w:p w:rsidR="00501E5D" w:rsidRDefault="00501E5D" w:rsidP="0064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E5D" w:rsidRDefault="00501E5D" w:rsidP="00647D27">
      <w:r>
        <w:separator/>
      </w:r>
    </w:p>
  </w:footnote>
  <w:footnote w:type="continuationSeparator" w:id="0">
    <w:p w:rsidR="00501E5D" w:rsidRDefault="00501E5D" w:rsidP="00647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D6"/>
    <w:rsid w:val="00053AE1"/>
    <w:rsid w:val="00072565"/>
    <w:rsid w:val="00075DF2"/>
    <w:rsid w:val="000B06D6"/>
    <w:rsid w:val="000B0DE7"/>
    <w:rsid w:val="000D1C44"/>
    <w:rsid w:val="0012516D"/>
    <w:rsid w:val="00184D2C"/>
    <w:rsid w:val="001A0481"/>
    <w:rsid w:val="002452C2"/>
    <w:rsid w:val="0028408E"/>
    <w:rsid w:val="00501E5D"/>
    <w:rsid w:val="0051100E"/>
    <w:rsid w:val="00557FDF"/>
    <w:rsid w:val="00593C29"/>
    <w:rsid w:val="00636A43"/>
    <w:rsid w:val="00647D27"/>
    <w:rsid w:val="006B3156"/>
    <w:rsid w:val="0072692C"/>
    <w:rsid w:val="00787C57"/>
    <w:rsid w:val="007E5B5B"/>
    <w:rsid w:val="00857C0D"/>
    <w:rsid w:val="008B0650"/>
    <w:rsid w:val="009A0D71"/>
    <w:rsid w:val="009A45FF"/>
    <w:rsid w:val="009C2CEA"/>
    <w:rsid w:val="009D70EB"/>
    <w:rsid w:val="00AF0895"/>
    <w:rsid w:val="00AF34D7"/>
    <w:rsid w:val="00B7281E"/>
    <w:rsid w:val="00B81105"/>
    <w:rsid w:val="00BD6175"/>
    <w:rsid w:val="00C032F0"/>
    <w:rsid w:val="00C96E8A"/>
    <w:rsid w:val="00CC0536"/>
    <w:rsid w:val="00D15551"/>
    <w:rsid w:val="00D16064"/>
    <w:rsid w:val="00D85DE8"/>
    <w:rsid w:val="00E82490"/>
    <w:rsid w:val="00EB0F66"/>
    <w:rsid w:val="00EE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713024"/>
  <w15:chartTrackingRefBased/>
  <w15:docId w15:val="{28604E3D-B209-42CF-A4BE-E49F7B2D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7D27"/>
    <w:pPr>
      <w:tabs>
        <w:tab w:val="center" w:pos="4252"/>
        <w:tab w:val="right" w:pos="8504"/>
      </w:tabs>
      <w:snapToGrid w:val="0"/>
    </w:pPr>
  </w:style>
  <w:style w:type="character" w:customStyle="1" w:styleId="a5">
    <w:name w:val="ヘッダー (文字)"/>
    <w:basedOn w:val="a0"/>
    <w:link w:val="a4"/>
    <w:uiPriority w:val="99"/>
    <w:rsid w:val="00647D27"/>
  </w:style>
  <w:style w:type="paragraph" w:styleId="a6">
    <w:name w:val="footer"/>
    <w:basedOn w:val="a"/>
    <w:link w:val="a7"/>
    <w:uiPriority w:val="99"/>
    <w:unhideWhenUsed/>
    <w:rsid w:val="00647D27"/>
    <w:pPr>
      <w:tabs>
        <w:tab w:val="center" w:pos="4252"/>
        <w:tab w:val="right" w:pos="8504"/>
      </w:tabs>
      <w:snapToGrid w:val="0"/>
    </w:pPr>
  </w:style>
  <w:style w:type="character" w:customStyle="1" w:styleId="a7">
    <w:name w:val="フッター (文字)"/>
    <w:basedOn w:val="a0"/>
    <w:link w:val="a6"/>
    <w:uiPriority w:val="99"/>
    <w:rsid w:val="00647D27"/>
  </w:style>
  <w:style w:type="paragraph" w:styleId="a8">
    <w:name w:val="Balloon Text"/>
    <w:basedOn w:val="a"/>
    <w:link w:val="a9"/>
    <w:uiPriority w:val="99"/>
    <w:semiHidden/>
    <w:unhideWhenUsed/>
    <w:rsid w:val="001251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51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460</Words>
  <Characters>2627</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2021-04-15T08:37:00Z</cp:lastPrinted>
  <dcterms:created xsi:type="dcterms:W3CDTF">2025-03-10T04:48:00Z</dcterms:created>
  <dcterms:modified xsi:type="dcterms:W3CDTF">2025-03-25T06:10:00Z</dcterms:modified>
</cp:coreProperties>
</file>