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5620" w14:textId="77777777" w:rsidR="00EE757D" w:rsidRPr="0059158E" w:rsidRDefault="000B06D6">
      <w:pPr>
        <w:rPr>
          <w:rFonts w:ascii="ＭＳ ゴシック" w:eastAsia="ＭＳ ゴシック" w:hAnsi="ＭＳ ゴシック"/>
        </w:rPr>
      </w:pPr>
      <w:r w:rsidRPr="0059158E">
        <w:rPr>
          <w:rFonts w:ascii="ＭＳ ゴシック" w:eastAsia="ＭＳ ゴシック" w:hAnsi="ＭＳ ゴシック"/>
        </w:rPr>
        <w:t>検討の観点と内容の特色</w:t>
      </w:r>
    </w:p>
    <w:tbl>
      <w:tblPr>
        <w:tblStyle w:val="a3"/>
        <w:tblW w:w="9776" w:type="dxa"/>
        <w:tblLook w:val="04A0" w:firstRow="1" w:lastRow="0" w:firstColumn="1" w:lastColumn="0" w:noHBand="0" w:noVBand="1"/>
      </w:tblPr>
      <w:tblGrid>
        <w:gridCol w:w="704"/>
        <w:gridCol w:w="2126"/>
        <w:gridCol w:w="588"/>
        <w:gridCol w:w="2247"/>
        <w:gridCol w:w="1829"/>
        <w:gridCol w:w="2282"/>
      </w:tblGrid>
      <w:tr w:rsidR="002452C2" w:rsidRPr="000B06D6" w14:paraId="6355ECC6" w14:textId="77777777" w:rsidTr="00446709">
        <w:tc>
          <w:tcPr>
            <w:tcW w:w="704" w:type="dxa"/>
          </w:tcPr>
          <w:p w14:paraId="0D4D0017" w14:textId="77777777" w:rsidR="002452C2" w:rsidRPr="000B06D6" w:rsidRDefault="002452C2" w:rsidP="001105BA">
            <w:pPr>
              <w:jc w:val="center"/>
              <w:rPr>
                <w:rFonts w:ascii="ＭＳ 明朝" w:eastAsia="ＭＳ 明朝" w:hAnsi="ＭＳ 明朝"/>
              </w:rPr>
            </w:pPr>
            <w:r w:rsidRPr="001105BA">
              <w:rPr>
                <w:rFonts w:ascii="ＭＳ 明朝" w:eastAsia="ＭＳ 明朝" w:hAnsi="ＭＳ 明朝" w:hint="eastAsia"/>
                <w:sz w:val="18"/>
              </w:rPr>
              <w:t>書名</w:t>
            </w:r>
          </w:p>
        </w:tc>
        <w:tc>
          <w:tcPr>
            <w:tcW w:w="2126" w:type="dxa"/>
          </w:tcPr>
          <w:p w14:paraId="5E092C93" w14:textId="6C5F5CD7" w:rsidR="002452C2" w:rsidRPr="00072565" w:rsidRDefault="00446709">
            <w:pPr>
              <w:rPr>
                <w:rFonts w:ascii="ＭＳ ゴシック" w:eastAsia="ＭＳ ゴシック" w:hAnsi="ＭＳ ゴシック"/>
              </w:rPr>
            </w:pPr>
            <w:r>
              <w:rPr>
                <w:rFonts w:ascii="ＭＳ ゴシック" w:eastAsia="ＭＳ ゴシック" w:hAnsi="ＭＳ ゴシック" w:hint="eastAsia"/>
              </w:rPr>
              <w:t xml:space="preserve">改訂 </w:t>
            </w:r>
            <w:r w:rsidR="002452C2" w:rsidRPr="002452C2">
              <w:rPr>
                <w:rFonts w:ascii="ＭＳ ゴシック" w:eastAsia="ＭＳ ゴシック" w:hAnsi="ＭＳ ゴシック" w:hint="eastAsia"/>
              </w:rPr>
              <w:t>新編生物基礎</w:t>
            </w:r>
          </w:p>
        </w:tc>
        <w:tc>
          <w:tcPr>
            <w:tcW w:w="588" w:type="dxa"/>
          </w:tcPr>
          <w:p w14:paraId="20FFE26A" w14:textId="77777777" w:rsidR="002452C2" w:rsidRPr="000B06D6" w:rsidRDefault="002452C2" w:rsidP="001105BA">
            <w:pPr>
              <w:jc w:val="center"/>
              <w:rPr>
                <w:rFonts w:ascii="ＭＳ 明朝" w:eastAsia="ＭＳ 明朝" w:hAnsi="ＭＳ 明朝"/>
              </w:rPr>
            </w:pPr>
            <w:r w:rsidRPr="001105BA">
              <w:rPr>
                <w:rFonts w:ascii="ＭＳ 明朝" w:eastAsia="ＭＳ 明朝" w:hAnsi="ＭＳ 明朝"/>
                <w:sz w:val="18"/>
              </w:rPr>
              <w:t>教番</w:t>
            </w:r>
          </w:p>
        </w:tc>
        <w:tc>
          <w:tcPr>
            <w:tcW w:w="2247" w:type="dxa"/>
          </w:tcPr>
          <w:p w14:paraId="139DBC46" w14:textId="39E76585" w:rsidR="002452C2" w:rsidRPr="0059158E" w:rsidRDefault="002452C2">
            <w:pPr>
              <w:rPr>
                <w:rFonts w:ascii="ＭＳ ゴシック" w:eastAsia="ＭＳ ゴシック" w:hAnsi="ＭＳ ゴシック"/>
              </w:rPr>
            </w:pPr>
            <w:r w:rsidRPr="0059158E">
              <w:rPr>
                <w:rFonts w:ascii="ＭＳ ゴシック" w:eastAsia="ＭＳ ゴシック" w:hAnsi="ＭＳ ゴシック"/>
              </w:rPr>
              <w:t>2 東書・生基</w:t>
            </w:r>
            <w:r w:rsidR="00446709">
              <w:rPr>
                <w:rFonts w:ascii="ＭＳ ゴシック" w:eastAsia="ＭＳ ゴシック" w:hAnsi="ＭＳ ゴシック"/>
              </w:rPr>
              <w:t>002-902</w:t>
            </w:r>
          </w:p>
        </w:tc>
        <w:tc>
          <w:tcPr>
            <w:tcW w:w="1829" w:type="dxa"/>
          </w:tcPr>
          <w:p w14:paraId="254C9303" w14:textId="77777777" w:rsidR="002452C2" w:rsidRPr="001105BA" w:rsidRDefault="002452C2" w:rsidP="00446709">
            <w:pPr>
              <w:ind w:leftChars="-52" w:left="-109" w:firstLine="1"/>
              <w:jc w:val="center"/>
              <w:rPr>
                <w:rFonts w:ascii="ＭＳ 明朝" w:eastAsia="ＭＳ 明朝" w:hAnsi="ＭＳ 明朝"/>
              </w:rPr>
            </w:pPr>
            <w:r w:rsidRPr="001105BA">
              <w:rPr>
                <w:rFonts w:ascii="ＭＳ 明朝" w:eastAsia="ＭＳ 明朝" w:hAnsi="ＭＳ 明朝"/>
                <w:sz w:val="18"/>
              </w:rPr>
              <w:t>判型・ページ数</w:t>
            </w:r>
          </w:p>
        </w:tc>
        <w:tc>
          <w:tcPr>
            <w:tcW w:w="2282" w:type="dxa"/>
          </w:tcPr>
          <w:p w14:paraId="05B09BCE" w14:textId="39FFA8D8" w:rsidR="002452C2" w:rsidRPr="0059158E" w:rsidRDefault="002452C2" w:rsidP="009A0D71">
            <w:pPr>
              <w:rPr>
                <w:rFonts w:ascii="ＭＳ ゴシック" w:eastAsia="ＭＳ ゴシック" w:hAnsi="ＭＳ ゴシック"/>
              </w:rPr>
            </w:pPr>
            <w:r w:rsidRPr="0059158E">
              <w:rPr>
                <w:rFonts w:ascii="ＭＳ ゴシック" w:eastAsia="ＭＳ ゴシック" w:hAnsi="ＭＳ ゴシック"/>
              </w:rPr>
              <w:t>B5判・2</w:t>
            </w:r>
            <w:r w:rsidR="0032418F">
              <w:rPr>
                <w:rFonts w:ascii="ＭＳ ゴシック" w:eastAsia="ＭＳ ゴシック" w:hAnsi="ＭＳ ゴシック"/>
              </w:rPr>
              <w:t>04</w:t>
            </w:r>
            <w:r w:rsidRPr="0059158E">
              <w:rPr>
                <w:rFonts w:ascii="ＭＳ ゴシック" w:eastAsia="ＭＳ ゴシック" w:hAnsi="ＭＳ ゴシック"/>
              </w:rPr>
              <w:t>ページ</w:t>
            </w:r>
          </w:p>
        </w:tc>
      </w:tr>
    </w:tbl>
    <w:p w14:paraId="726957F2" w14:textId="0BEA7BEA" w:rsidR="0059158E" w:rsidRPr="00595263" w:rsidRDefault="0059158E" w:rsidP="00595263">
      <w:pPr>
        <w:tabs>
          <w:tab w:val="left" w:pos="817"/>
          <w:tab w:val="left" w:pos="2375"/>
          <w:tab w:val="left" w:pos="3085"/>
          <w:tab w:val="left" w:pos="4928"/>
          <w:tab w:val="left" w:pos="6629"/>
        </w:tabs>
        <w:snapToGrid w:val="0"/>
        <w:ind w:left="113"/>
        <w:jc w:val="left"/>
        <w:rPr>
          <w:rFonts w:ascii="ＭＳ ゴシック" w:eastAsia="ＭＳ ゴシック" w:hAnsi="ＭＳ ゴシック"/>
          <w:sz w:val="16"/>
          <w:szCs w:val="16"/>
        </w:rPr>
      </w:pPr>
    </w:p>
    <w:tbl>
      <w:tblPr>
        <w:tblStyle w:val="a3"/>
        <w:tblW w:w="9776" w:type="dxa"/>
        <w:tblLook w:val="04A0" w:firstRow="1" w:lastRow="0" w:firstColumn="1" w:lastColumn="0" w:noHBand="0" w:noVBand="1"/>
      </w:tblPr>
      <w:tblGrid>
        <w:gridCol w:w="704"/>
        <w:gridCol w:w="2268"/>
        <w:gridCol w:w="6804"/>
      </w:tblGrid>
      <w:tr w:rsidR="000B06D6" w:rsidRPr="000B06D6" w14:paraId="7B5F1C88" w14:textId="77777777" w:rsidTr="00595263">
        <w:tc>
          <w:tcPr>
            <w:tcW w:w="704" w:type="dxa"/>
          </w:tcPr>
          <w:p w14:paraId="4E5FCDF5" w14:textId="77777777" w:rsidR="000B06D6" w:rsidRPr="001105BA" w:rsidRDefault="001105BA" w:rsidP="001105BA">
            <w:pPr>
              <w:jc w:val="center"/>
              <w:rPr>
                <w:rFonts w:ascii="ＭＳ ゴシック" w:eastAsia="ＭＳ ゴシック" w:hAnsi="ＭＳ ゴシック"/>
                <w:sz w:val="18"/>
              </w:rPr>
            </w:pPr>
            <w:r>
              <w:rPr>
                <w:rFonts w:ascii="ＭＳ ゴシック" w:eastAsia="ＭＳ ゴシック" w:hAnsi="ＭＳ ゴシック" w:hint="eastAsia"/>
                <w:sz w:val="18"/>
              </w:rPr>
              <w:t>項</w:t>
            </w:r>
            <w:r w:rsidR="000B06D6" w:rsidRPr="001105BA">
              <w:rPr>
                <w:rFonts w:ascii="ＭＳ ゴシック" w:eastAsia="ＭＳ ゴシック" w:hAnsi="ＭＳ ゴシック" w:hint="eastAsia"/>
                <w:sz w:val="18"/>
              </w:rPr>
              <w:t>目</w:t>
            </w:r>
          </w:p>
        </w:tc>
        <w:tc>
          <w:tcPr>
            <w:tcW w:w="2268" w:type="dxa"/>
          </w:tcPr>
          <w:p w14:paraId="4C6D1156" w14:textId="77777777" w:rsidR="000B06D6" w:rsidRPr="001105BA" w:rsidRDefault="00196B01" w:rsidP="001105BA">
            <w:pPr>
              <w:jc w:val="center"/>
              <w:rPr>
                <w:rFonts w:ascii="ＭＳ ゴシック" w:eastAsia="ＭＳ ゴシック" w:hAnsi="ＭＳ ゴシック"/>
                <w:sz w:val="18"/>
              </w:rPr>
            </w:pPr>
            <w:r>
              <w:rPr>
                <w:rFonts w:ascii="ＭＳ ゴシック" w:eastAsia="ＭＳ ゴシック" w:hAnsi="ＭＳ ゴシック"/>
                <w:sz w:val="18"/>
              </w:rPr>
              <w:t>観</w:t>
            </w:r>
            <w:r w:rsidR="000B06D6" w:rsidRPr="001105BA">
              <w:rPr>
                <w:rFonts w:ascii="ＭＳ ゴシック" w:eastAsia="ＭＳ ゴシック" w:hAnsi="ＭＳ ゴシック"/>
                <w:sz w:val="18"/>
              </w:rPr>
              <w:t>点</w:t>
            </w:r>
          </w:p>
        </w:tc>
        <w:tc>
          <w:tcPr>
            <w:tcW w:w="6804" w:type="dxa"/>
          </w:tcPr>
          <w:p w14:paraId="0F3EE836" w14:textId="77777777" w:rsidR="000B06D6" w:rsidRPr="001105BA" w:rsidRDefault="001105BA" w:rsidP="001105BA">
            <w:pPr>
              <w:jc w:val="center"/>
              <w:rPr>
                <w:rFonts w:ascii="ＭＳ ゴシック" w:eastAsia="ＭＳ ゴシック" w:hAnsi="ＭＳ ゴシック"/>
                <w:sz w:val="18"/>
              </w:rPr>
            </w:pPr>
            <w:r>
              <w:rPr>
                <w:rFonts w:ascii="ＭＳ ゴシック" w:eastAsia="ＭＳ ゴシック" w:hAnsi="ＭＳ ゴシック" w:hint="eastAsia"/>
                <w:sz w:val="18"/>
              </w:rPr>
              <w:t>内容の特色</w:t>
            </w:r>
          </w:p>
        </w:tc>
      </w:tr>
      <w:tr w:rsidR="000B06D6" w:rsidRPr="000B06D6" w14:paraId="3F133115" w14:textId="77777777" w:rsidTr="00595263">
        <w:trPr>
          <w:cantSplit/>
          <w:trHeight w:val="1134"/>
        </w:trPr>
        <w:tc>
          <w:tcPr>
            <w:tcW w:w="704" w:type="dxa"/>
            <w:textDirection w:val="tbRlV"/>
            <w:vAlign w:val="center"/>
          </w:tcPr>
          <w:p w14:paraId="0AD68119" w14:textId="77777777" w:rsidR="000B06D6" w:rsidRPr="009A0D71" w:rsidRDefault="000B06D6" w:rsidP="00446709">
            <w:pPr>
              <w:adjustRightInd w:val="0"/>
              <w:snapToGrid w:val="0"/>
              <w:spacing w:line="0" w:lineRule="atLeast"/>
              <w:ind w:left="113" w:right="113"/>
              <w:jc w:val="center"/>
              <w:rPr>
                <w:rFonts w:ascii="ＭＳ ゴシック" w:eastAsia="ＭＳ ゴシック" w:hAnsi="ＭＳ ゴシック"/>
                <w:sz w:val="18"/>
                <w:szCs w:val="16"/>
              </w:rPr>
            </w:pPr>
            <w:r w:rsidRPr="009A0D71">
              <w:rPr>
                <w:rFonts w:ascii="ＭＳ ゴシック" w:eastAsia="ＭＳ ゴシック" w:hAnsi="ＭＳ ゴシック" w:hint="eastAsia"/>
                <w:sz w:val="18"/>
                <w:szCs w:val="16"/>
              </w:rPr>
              <w:t>内容の選択・程度</w:t>
            </w:r>
          </w:p>
        </w:tc>
        <w:tc>
          <w:tcPr>
            <w:tcW w:w="2268" w:type="dxa"/>
          </w:tcPr>
          <w:p w14:paraId="19898054" w14:textId="77777777" w:rsidR="00627CF4" w:rsidRPr="00595263" w:rsidRDefault="00627CF4" w:rsidP="00595263">
            <w:pPr>
              <w:snapToGrid w:val="0"/>
              <w:ind w:leftChars="1" w:left="173" w:hangingChars="107" w:hanging="171"/>
              <w:rPr>
                <w:rFonts w:ascii="ＭＳ 明朝" w:eastAsia="ＭＳ 明朝" w:hAnsi="ＭＳ 明朝" w:cs="ＭＳ ゴシック"/>
                <w:sz w:val="16"/>
                <w:szCs w:val="16"/>
              </w:rPr>
            </w:pPr>
            <w:r w:rsidRPr="00595263">
              <w:rPr>
                <w:rFonts w:ascii="ＭＳ 明朝" w:eastAsia="ＭＳ 明朝" w:hAnsi="ＭＳ 明朝" w:cs="ＭＳ ゴシック" w:hint="eastAsia"/>
                <w:sz w:val="16"/>
                <w:szCs w:val="16"/>
              </w:rPr>
              <w:t>・学習指導要領の教科の目標を達成するため必要な教材が適　切に用意されているか。</w:t>
            </w:r>
          </w:p>
          <w:p w14:paraId="4B0CDF92" w14:textId="77777777" w:rsidR="00627CF4" w:rsidRPr="00595263" w:rsidRDefault="00627CF4" w:rsidP="00595263">
            <w:pPr>
              <w:snapToGrid w:val="0"/>
              <w:ind w:leftChars="1" w:left="173" w:hangingChars="107" w:hanging="171"/>
              <w:rPr>
                <w:rFonts w:ascii="ＭＳ 明朝" w:eastAsia="ＭＳ 明朝" w:hAnsi="ＭＳ 明朝" w:cs="ＭＳ ゴシック"/>
                <w:sz w:val="16"/>
                <w:szCs w:val="16"/>
              </w:rPr>
            </w:pPr>
            <w:r w:rsidRPr="00595263">
              <w:rPr>
                <w:rFonts w:ascii="ＭＳ 明朝" w:eastAsia="ＭＳ 明朝" w:hAnsi="ＭＳ 明朝" w:cs="ＭＳ ゴシック" w:hint="eastAsia"/>
                <w:sz w:val="16"/>
                <w:szCs w:val="16"/>
              </w:rPr>
              <w:t>・基礎的・基本的な知識・技能の理解や習得のための適切な配慮がなされているか。</w:t>
            </w:r>
          </w:p>
          <w:p w14:paraId="47E9C1B3" w14:textId="77777777" w:rsidR="00627CF4" w:rsidRPr="00595263" w:rsidRDefault="00627CF4" w:rsidP="00595263">
            <w:pPr>
              <w:snapToGrid w:val="0"/>
              <w:ind w:leftChars="1" w:left="173" w:hangingChars="107" w:hanging="171"/>
              <w:rPr>
                <w:rFonts w:ascii="ＭＳ 明朝" w:eastAsia="ＭＳ 明朝" w:hAnsi="ＭＳ 明朝" w:cs="ＭＳ ゴシック"/>
                <w:sz w:val="16"/>
                <w:szCs w:val="16"/>
              </w:rPr>
            </w:pPr>
            <w:r w:rsidRPr="00595263">
              <w:rPr>
                <w:rFonts w:ascii="ＭＳ 明朝" w:eastAsia="ＭＳ 明朝" w:hAnsi="ＭＳ 明朝" w:cs="ＭＳ ゴシック" w:hint="eastAsia"/>
                <w:sz w:val="16"/>
                <w:szCs w:val="16"/>
              </w:rPr>
              <w:t>・観察、実験などを行い、科学的に探究する力を育成するための適切な配慮がなされているか。</w:t>
            </w:r>
          </w:p>
          <w:p w14:paraId="6DB8CBD0" w14:textId="77777777" w:rsidR="00627CF4" w:rsidRPr="00595263" w:rsidRDefault="00627CF4" w:rsidP="00595263">
            <w:pPr>
              <w:snapToGrid w:val="0"/>
              <w:ind w:leftChars="1" w:left="173" w:hangingChars="107" w:hanging="171"/>
              <w:rPr>
                <w:rFonts w:ascii="ＭＳ 明朝" w:eastAsia="ＭＳ 明朝" w:hAnsi="ＭＳ 明朝" w:cs="ＭＳ ゴシック"/>
                <w:sz w:val="16"/>
                <w:szCs w:val="16"/>
              </w:rPr>
            </w:pPr>
            <w:r w:rsidRPr="00595263">
              <w:rPr>
                <w:rFonts w:ascii="ＭＳ 明朝" w:eastAsia="ＭＳ 明朝" w:hAnsi="ＭＳ 明朝" w:cs="ＭＳ ゴシック" w:hint="eastAsia"/>
                <w:sz w:val="16"/>
                <w:szCs w:val="16"/>
              </w:rPr>
              <w:t>・「主体的・対話的で深い学び」が実現できるよう編集されているか。</w:t>
            </w:r>
          </w:p>
          <w:p w14:paraId="61BF6BE0" w14:textId="656FD7F5" w:rsidR="000B06D6" w:rsidRPr="00857C0D" w:rsidRDefault="00627CF4" w:rsidP="00595263">
            <w:pPr>
              <w:snapToGrid w:val="0"/>
              <w:ind w:leftChars="1" w:left="173" w:hangingChars="107" w:hanging="171"/>
              <w:rPr>
                <w:rFonts w:ascii="ＭＳ 明朝" w:eastAsia="ＭＳ 明朝" w:hAnsi="ＭＳ 明朝" w:cs="Malgun Gothic"/>
                <w:sz w:val="16"/>
                <w:szCs w:val="16"/>
              </w:rPr>
            </w:pPr>
            <w:r w:rsidRPr="00595263">
              <w:rPr>
                <w:rFonts w:ascii="ＭＳ 明朝" w:eastAsia="ＭＳ 明朝" w:hAnsi="ＭＳ 明朝" w:cs="ＭＳ ゴシック" w:hint="eastAsia"/>
                <w:sz w:val="16"/>
                <w:szCs w:val="16"/>
              </w:rPr>
              <w:t>・発展的な内容の取り扱いに対する適切な配慮がなされているか。</w:t>
            </w:r>
          </w:p>
        </w:tc>
        <w:tc>
          <w:tcPr>
            <w:tcW w:w="6804" w:type="dxa"/>
          </w:tcPr>
          <w:p w14:paraId="48C4279F" w14:textId="60DEEB9E" w:rsidR="002452C2" w:rsidRPr="002452C2" w:rsidRDefault="000B0DE7" w:rsidP="00595263">
            <w:pPr>
              <w:snapToGrid w:val="0"/>
              <w:ind w:left="125" w:hangingChars="78" w:hanging="125"/>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高等</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校理科</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習指導要領の「目標」「</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容」及び「</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容の取扱い」に示された事項のすべてについて不足なく取り上げている。</w:t>
            </w:r>
          </w:p>
          <w:p w14:paraId="75627892" w14:textId="06CC9584" w:rsidR="002452C2" w:rsidRPr="002452C2" w:rsidRDefault="000B0DE7" w:rsidP="00595263">
            <w:pPr>
              <w:snapToGrid w:val="0"/>
              <w:ind w:left="125" w:hangingChars="78" w:hanging="125"/>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すべての節の冒頭に</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Malgun Gothic"/>
                <w:sz w:val="16"/>
                <w:szCs w:val="16"/>
              </w:rPr>
              <w:t>Let</w:t>
            </w:r>
            <w:r w:rsidR="002452C2" w:rsidRPr="00446709">
              <w:rPr>
                <w:rFonts w:asciiTheme="majorEastAsia" w:eastAsiaTheme="majorEastAsia" w:hAnsiTheme="majorEastAsia" w:cs="Malgun Gothic"/>
                <w:sz w:val="16"/>
                <w:szCs w:val="16"/>
              </w:rPr>
              <w:t>'</w:t>
            </w:r>
            <w:r w:rsidR="002452C2" w:rsidRPr="000B0DE7">
              <w:rPr>
                <w:rFonts w:ascii="ＭＳ ゴシック" w:eastAsia="ＭＳ ゴシック" w:hAnsi="ＭＳ ゴシック" w:cs="Malgun Gothic"/>
                <w:sz w:val="16"/>
                <w:szCs w:val="16"/>
              </w:rPr>
              <w:t xml:space="preserve">s </w:t>
            </w:r>
            <w:r w:rsidR="0032418F">
              <w:rPr>
                <w:rFonts w:ascii="ＭＳ ゴシック" w:eastAsia="ＭＳ ゴシック" w:hAnsi="ＭＳ ゴシック" w:cs="Malgun Gothic"/>
                <w:sz w:val="16"/>
                <w:szCs w:val="16"/>
              </w:rPr>
              <w:t>s</w:t>
            </w:r>
            <w:r w:rsidR="002452C2" w:rsidRPr="000B0DE7">
              <w:rPr>
                <w:rFonts w:ascii="ＭＳ ゴシック" w:eastAsia="ＭＳ ゴシック" w:hAnsi="ＭＳ ゴシック" w:cs="Malgun Gothic"/>
                <w:sz w:val="16"/>
                <w:szCs w:val="16"/>
              </w:rPr>
              <w:t>tart!」</w:t>
            </w:r>
            <w:r w:rsidR="002452C2" w:rsidRPr="002452C2">
              <w:rPr>
                <w:rFonts w:ascii="ＭＳ 明朝" w:eastAsia="ＭＳ 明朝" w:hAnsi="ＭＳ 明朝" w:cs="Malgun Gothic"/>
                <w:sz w:val="16"/>
                <w:szCs w:val="16"/>
              </w:rPr>
              <w:t>が配置されており</w:t>
            </w:r>
            <w:r w:rsidR="00595263">
              <w:rPr>
                <w:rFonts w:ascii="ＭＳ 明朝" w:eastAsia="ＭＳ 明朝" w:hAnsi="ＭＳ 明朝" w:cs="Malgun Gothic"/>
                <w:sz w:val="16"/>
                <w:szCs w:val="16"/>
              </w:rPr>
              <w:t>、</w:t>
            </w:r>
            <w:r w:rsidR="002452C2" w:rsidRPr="002452C2">
              <w:rPr>
                <w:rFonts w:ascii="ＭＳ 明朝" w:eastAsia="ＭＳ 明朝" w:hAnsi="ＭＳ 明朝" w:cs="Malgun Gothic"/>
                <w:sz w:val="16"/>
                <w:szCs w:val="16"/>
              </w:rPr>
              <w:t>日常生活や社</w:t>
            </w:r>
            <w:r w:rsidR="002452C2" w:rsidRPr="002452C2">
              <w:rPr>
                <w:rFonts w:ascii="ＭＳ 明朝" w:eastAsia="ＭＳ 明朝" w:hAnsi="ＭＳ 明朝" w:cs="ＭＳ ゴシック" w:hint="eastAsia"/>
                <w:sz w:val="16"/>
                <w:szCs w:val="16"/>
              </w:rPr>
              <w:t>会</w:t>
            </w:r>
            <w:r w:rsidR="002452C2" w:rsidRPr="002452C2">
              <w:rPr>
                <w:rFonts w:ascii="ＭＳ 明朝" w:eastAsia="ＭＳ 明朝" w:hAnsi="ＭＳ 明朝" w:cs="Malgun Gothic" w:hint="eastAsia"/>
                <w:sz w:val="16"/>
                <w:szCs w:val="16"/>
              </w:rPr>
              <w:t>とのつながりを</w:t>
            </w:r>
            <w:r w:rsidR="002452C2" w:rsidRPr="002452C2">
              <w:rPr>
                <w:rFonts w:ascii="ＭＳ 明朝" w:eastAsia="ＭＳ 明朝" w:hAnsi="ＭＳ 明朝" w:cs="ＭＳ ゴシック" w:hint="eastAsia"/>
                <w:sz w:val="16"/>
                <w:szCs w:val="16"/>
              </w:rPr>
              <w:t>実</w:t>
            </w:r>
            <w:r w:rsidR="002452C2" w:rsidRPr="002452C2">
              <w:rPr>
                <w:rFonts w:ascii="ＭＳ 明朝" w:eastAsia="ＭＳ 明朝" w:hAnsi="ＭＳ 明朝" w:cs="Malgun Gothic" w:hint="eastAsia"/>
                <w:sz w:val="16"/>
                <w:szCs w:val="16"/>
              </w:rPr>
              <w:t>感できる</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容から</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導入できるように工夫されている。</w:t>
            </w:r>
            <w:r w:rsidR="0032418F">
              <w:rPr>
                <w:rFonts w:ascii="ＭＳ 明朝" w:eastAsia="ＭＳ 明朝" w:hAnsi="ＭＳ 明朝" w:cs="Malgun Gothic" w:hint="eastAsia"/>
                <w:sz w:val="16"/>
                <w:szCs w:val="16"/>
              </w:rPr>
              <w:t>また、対話形式の吹き出しがあり、</w:t>
            </w:r>
            <w:r w:rsidR="0032418F" w:rsidRPr="0032418F">
              <w:rPr>
                <w:rFonts w:ascii="ＭＳ ゴシック" w:eastAsia="ＭＳ ゴシック" w:hAnsi="ＭＳ ゴシック" w:cs="Malgun Gothic" w:hint="eastAsia"/>
                <w:sz w:val="16"/>
                <w:szCs w:val="16"/>
              </w:rPr>
              <w:t>主体的・対話的な学びのきっかけ</w:t>
            </w:r>
            <w:r w:rsidR="0032418F">
              <w:rPr>
                <w:rFonts w:ascii="ＭＳ 明朝" w:eastAsia="ＭＳ 明朝" w:hAnsi="ＭＳ 明朝" w:cs="Malgun Gothic" w:hint="eastAsia"/>
                <w:sz w:val="16"/>
                <w:szCs w:val="16"/>
              </w:rPr>
              <w:t>となる工夫がされている。</w:t>
            </w:r>
          </w:p>
          <w:p w14:paraId="07E7FE85" w14:textId="55C53B56" w:rsidR="002452C2" w:rsidRPr="002452C2" w:rsidRDefault="000B0DE7" w:rsidP="00595263">
            <w:pPr>
              <w:snapToGrid w:val="0"/>
              <w:ind w:left="125" w:hangingChars="78" w:hanging="125"/>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適切な箇所に適切な</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ＭＳ ゴシック" w:hint="eastAsia"/>
                <w:sz w:val="16"/>
                <w:szCs w:val="16"/>
              </w:rPr>
              <w:t>実</w:t>
            </w:r>
            <w:r w:rsidR="002452C2" w:rsidRPr="000B0DE7">
              <w:rPr>
                <w:rFonts w:ascii="ＭＳ ゴシック" w:eastAsia="ＭＳ ゴシック" w:hAnsi="ＭＳ ゴシック" w:cs="Malgun Gothic" w:hint="eastAsia"/>
                <w:sz w:val="16"/>
                <w:szCs w:val="16"/>
              </w:rPr>
              <w:t>習」</w:t>
            </w:r>
            <w:r w:rsidR="002452C2" w:rsidRPr="002452C2">
              <w:rPr>
                <w:rFonts w:ascii="ＭＳ 明朝" w:eastAsia="ＭＳ 明朝" w:hAnsi="ＭＳ 明朝" w:cs="Malgun Gothic" w:hint="eastAsia"/>
                <w:sz w:val="16"/>
                <w:szCs w:val="16"/>
              </w:rPr>
              <w:t>が取り上げられており</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思考の過程に沿って</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生徒自らが課題を見いだして</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探究的に</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習が進められるように工夫されている。</w:t>
            </w:r>
          </w:p>
          <w:p w14:paraId="48C0954F" w14:textId="18945272" w:rsidR="002452C2" w:rsidRPr="002452C2" w:rsidRDefault="000B0DE7" w:rsidP="00595263">
            <w:pPr>
              <w:snapToGrid w:val="0"/>
              <w:ind w:left="125" w:hangingChars="78" w:hanging="125"/>
              <w:rPr>
                <w:rFonts w:ascii="ＭＳ 明朝" w:eastAsia="ＭＳ 明朝" w:hAnsi="ＭＳ 明朝" w:cs="Malgun Gothic"/>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本文の</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容をより深めるために</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適切な箇所に</w:t>
            </w:r>
            <w:r w:rsidR="002452C2" w:rsidRPr="000B0DE7">
              <w:rPr>
                <w:rFonts w:ascii="ＭＳ ゴシック" w:eastAsia="ＭＳ ゴシック" w:hAnsi="ＭＳ ゴシック" w:cs="Malgun Gothic" w:hint="eastAsia"/>
                <w:sz w:val="16"/>
                <w:szCs w:val="16"/>
              </w:rPr>
              <w:t>「コラム」</w:t>
            </w:r>
            <w:r w:rsidR="002452C2" w:rsidRPr="002452C2">
              <w:rPr>
                <w:rFonts w:ascii="ＭＳ 明朝" w:eastAsia="ＭＳ 明朝" w:hAnsi="ＭＳ 明朝" w:cs="Malgun Gothic" w:hint="eastAsia"/>
                <w:sz w:val="16"/>
                <w:szCs w:val="16"/>
              </w:rPr>
              <w:t>が設けられている。日常</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社</w:t>
            </w:r>
            <w:r w:rsidR="002452C2" w:rsidRPr="002452C2">
              <w:rPr>
                <w:rFonts w:ascii="ＭＳ 明朝" w:eastAsia="ＭＳ 明朝" w:hAnsi="ＭＳ 明朝" w:cs="ＭＳ ゴシック" w:hint="eastAsia"/>
                <w:sz w:val="16"/>
                <w:szCs w:val="16"/>
              </w:rPr>
              <w:t>会</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ＭＳ ゴシック" w:hint="eastAsia"/>
                <w:sz w:val="16"/>
                <w:szCs w:val="16"/>
              </w:rPr>
              <w:t>歴</w:t>
            </w:r>
            <w:r w:rsidR="002452C2" w:rsidRPr="002452C2">
              <w:rPr>
                <w:rFonts w:ascii="ＭＳ 明朝" w:eastAsia="ＭＳ 明朝" w:hAnsi="ＭＳ 明朝" w:cs="Malgun Gothic" w:hint="eastAsia"/>
                <w:sz w:val="16"/>
                <w:szCs w:val="16"/>
              </w:rPr>
              <w:t>史といった幅</w:t>
            </w:r>
            <w:r w:rsidR="002452C2" w:rsidRPr="002452C2">
              <w:rPr>
                <w:rFonts w:ascii="ＭＳ 明朝" w:eastAsia="ＭＳ 明朝" w:hAnsi="ＭＳ 明朝" w:cs="ＭＳ ゴシック" w:hint="eastAsia"/>
                <w:sz w:val="16"/>
                <w:szCs w:val="16"/>
              </w:rPr>
              <w:t>広</w:t>
            </w:r>
            <w:r w:rsidR="002452C2" w:rsidRPr="002452C2">
              <w:rPr>
                <w:rFonts w:ascii="ＭＳ 明朝" w:eastAsia="ＭＳ 明朝" w:hAnsi="ＭＳ 明朝" w:cs="Malgun Gothic" w:hint="eastAsia"/>
                <w:sz w:val="16"/>
                <w:szCs w:val="16"/>
              </w:rPr>
              <w:t>い話題を取り上げられており</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生徒の興味</w:t>
            </w:r>
            <w:r w:rsidR="002452C2" w:rsidRPr="002452C2">
              <w:rPr>
                <w:rFonts w:ascii="ＭＳ 明朝" w:eastAsia="ＭＳ 明朝" w:hAnsi="ＭＳ 明朝" w:cs="ＭＳ ゴシック" w:hint="eastAsia"/>
                <w:sz w:val="16"/>
                <w:szCs w:val="16"/>
              </w:rPr>
              <w:t>関</w:t>
            </w:r>
            <w:r w:rsidR="002452C2" w:rsidRPr="002452C2">
              <w:rPr>
                <w:rFonts w:ascii="ＭＳ 明朝" w:eastAsia="ＭＳ 明朝" w:hAnsi="ＭＳ 明朝" w:cs="Malgun Gothic" w:hint="eastAsia"/>
                <w:sz w:val="16"/>
                <w:szCs w:val="16"/>
              </w:rPr>
              <w:t>心を喚起させる</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容になっている。</w:t>
            </w:r>
          </w:p>
          <w:p w14:paraId="512DAE69" w14:textId="4155B288" w:rsidR="002452C2" w:rsidRPr="0032418F" w:rsidRDefault="000B0DE7" w:rsidP="00595263">
            <w:pPr>
              <w:snapToGrid w:val="0"/>
              <w:ind w:left="125" w:hangingChars="78" w:hanging="125"/>
              <w:rPr>
                <w:rFonts w:ascii="ＭＳ ゴシック" w:eastAsia="ＭＳ ゴシック" w:hAnsi="ＭＳ ゴシック" w:cs="ＭＳ 明朝"/>
                <w:sz w:val="16"/>
                <w:szCs w:val="16"/>
              </w:rPr>
            </w:pPr>
            <w:r>
              <w:rPr>
                <w:rFonts w:ascii="ＭＳ ゴシック" w:eastAsia="ＭＳ ゴシック" w:hAnsi="ＭＳ ゴシック" w:cs="ＭＳ ゴシック" w:hint="eastAsia"/>
                <w:sz w:val="16"/>
                <w:szCs w:val="16"/>
              </w:rPr>
              <w:t>・</w:t>
            </w:r>
            <w:r w:rsidR="002452C2" w:rsidRPr="000B0DE7">
              <w:rPr>
                <w:rFonts w:ascii="ＭＳ ゴシック" w:eastAsia="ＭＳ ゴシック" w:hAnsi="ＭＳ ゴシック" w:cs="ＭＳ 明朝" w:hint="eastAsia"/>
                <w:sz w:val="16"/>
                <w:szCs w:val="16"/>
              </w:rPr>
              <w:t>「資料</w:t>
            </w:r>
            <w:r w:rsidR="0032418F">
              <w:rPr>
                <w:rFonts w:ascii="ＭＳ ゴシック" w:eastAsia="ＭＳ ゴシック" w:hAnsi="ＭＳ ゴシック" w:cs="ＭＳ 明朝" w:hint="eastAsia"/>
                <w:sz w:val="16"/>
                <w:szCs w:val="16"/>
              </w:rPr>
              <w:t>から考える</w:t>
            </w:r>
            <w:r w:rsidR="002452C2" w:rsidRPr="000B0DE7">
              <w:rPr>
                <w:rFonts w:ascii="ＭＳ ゴシック" w:eastAsia="ＭＳ ゴシック" w:hAnsi="ＭＳ ゴシック" w:cs="Malgun Gothic" w:hint="eastAsia"/>
                <w:sz w:val="16"/>
                <w:szCs w:val="16"/>
              </w:rPr>
              <w:t>」</w:t>
            </w:r>
            <w:r w:rsidR="002452C2" w:rsidRPr="002452C2">
              <w:rPr>
                <w:rFonts w:ascii="ＭＳ 明朝" w:eastAsia="ＭＳ 明朝" w:hAnsi="ＭＳ 明朝" w:cs="Malgun Gothic" w:hint="eastAsia"/>
                <w:sz w:val="16"/>
                <w:szCs w:val="16"/>
              </w:rPr>
              <w:t>では</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Malgun Gothic" w:hint="eastAsia"/>
                <w:sz w:val="16"/>
                <w:szCs w:val="16"/>
              </w:rPr>
              <w:t>デ</w:t>
            </w:r>
            <w:r w:rsidR="002452C2" w:rsidRPr="002452C2">
              <w:rPr>
                <w:rFonts w:ascii="ＭＳ 明朝" w:eastAsia="ＭＳ 明朝" w:hAnsi="ＭＳ 明朝" w:cs="ＭＳ ゴシック" w:hint="eastAsia"/>
                <w:sz w:val="16"/>
                <w:szCs w:val="16"/>
              </w:rPr>
              <w:t>ー</w:t>
            </w:r>
            <w:r w:rsidR="002452C2" w:rsidRPr="002452C2">
              <w:rPr>
                <w:rFonts w:ascii="ＭＳ 明朝" w:eastAsia="ＭＳ 明朝" w:hAnsi="ＭＳ 明朝" w:cs="Malgun Gothic" w:hint="eastAsia"/>
                <w:sz w:val="16"/>
                <w:szCs w:val="16"/>
              </w:rPr>
              <w:t>タや資料の分析</w:t>
            </w:r>
            <w:r w:rsidR="002452C2" w:rsidRPr="002452C2">
              <w:rPr>
                <w:rFonts w:ascii="ＭＳ 明朝" w:eastAsia="ＭＳ 明朝" w:hAnsi="ＭＳ 明朝" w:cs="ＭＳ ゴシック" w:hint="eastAsia"/>
                <w:sz w:val="16"/>
                <w:szCs w:val="16"/>
              </w:rPr>
              <w:t>・</w:t>
            </w:r>
            <w:r w:rsidR="002452C2" w:rsidRPr="002452C2">
              <w:rPr>
                <w:rFonts w:ascii="ＭＳ 明朝" w:eastAsia="ＭＳ 明朝" w:hAnsi="ＭＳ 明朝" w:cs="Malgun Gothic" w:hint="eastAsia"/>
                <w:sz w:val="16"/>
                <w:szCs w:val="16"/>
              </w:rPr>
              <w:t>解</w:t>
            </w:r>
            <w:r w:rsidR="002452C2" w:rsidRPr="002452C2">
              <w:rPr>
                <w:rFonts w:ascii="ＭＳ 明朝" w:eastAsia="ＭＳ 明朝" w:hAnsi="ＭＳ 明朝" w:cs="ＭＳ ゴシック" w:hint="eastAsia"/>
                <w:sz w:val="16"/>
                <w:szCs w:val="16"/>
              </w:rPr>
              <w:t>釈</w:t>
            </w:r>
            <w:r w:rsidR="002452C2" w:rsidRPr="002452C2">
              <w:rPr>
                <w:rFonts w:ascii="ＭＳ 明朝" w:eastAsia="ＭＳ 明朝" w:hAnsi="ＭＳ 明朝" w:cs="Malgun Gothic" w:hint="eastAsia"/>
                <w:sz w:val="16"/>
                <w:szCs w:val="16"/>
              </w:rPr>
              <w:t>を行うことができる。</w:t>
            </w:r>
          </w:p>
          <w:p w14:paraId="7DE912FA" w14:textId="7B449310" w:rsidR="002452C2" w:rsidRPr="001105BA" w:rsidRDefault="0032418F" w:rsidP="00595263">
            <w:pPr>
              <w:snapToGrid w:val="0"/>
              <w:ind w:left="125" w:hangingChars="78" w:hanging="125"/>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章末に</w:t>
            </w:r>
            <w:r w:rsidR="002452C2" w:rsidRPr="000B0DE7">
              <w:rPr>
                <w:rFonts w:ascii="ＭＳ ゴシック" w:eastAsia="ＭＳ ゴシック" w:hAnsi="ＭＳ ゴシック" w:cs="ＭＳ 明朝" w:hint="eastAsia"/>
                <w:sz w:val="16"/>
                <w:szCs w:val="16"/>
              </w:rPr>
              <w:t>「章末まとめ」（用語の確認</w:t>
            </w:r>
            <w:r w:rsidR="00595263">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ＭＳ 明朝" w:hint="eastAsia"/>
                <w:sz w:val="16"/>
                <w:szCs w:val="16"/>
              </w:rPr>
              <w:t>まとめパネル）</w:t>
            </w:r>
            <w:r w:rsidR="002452C2" w:rsidRPr="002452C2">
              <w:rPr>
                <w:rFonts w:ascii="ＭＳ 明朝" w:eastAsia="ＭＳ 明朝" w:hAnsi="ＭＳ 明朝" w:cs="ＭＳ 明朝" w:hint="eastAsia"/>
                <w:sz w:val="16"/>
                <w:szCs w:val="16"/>
              </w:rPr>
              <w:t>が配置されており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基本的な</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容が確認できるように工夫されている。</w:t>
            </w:r>
          </w:p>
          <w:p w14:paraId="0EE618C0" w14:textId="77777777" w:rsidR="000B06D6" w:rsidRDefault="000B0DE7" w:rsidP="00595263">
            <w:pPr>
              <w:snapToGrid w:val="0"/>
              <w:ind w:left="125" w:hangingChars="78" w:hanging="125"/>
              <w:rPr>
                <w:rFonts w:ascii="ＭＳ 明朝" w:eastAsia="ＭＳ 明朝" w:hAnsi="ＭＳ 明朝" w:cs="Malgun Gothic"/>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ゴシック" w:hint="eastAsia"/>
                <w:sz w:val="16"/>
                <w:szCs w:val="16"/>
              </w:rPr>
              <w:t>巻</w:t>
            </w:r>
            <w:r w:rsidR="002452C2" w:rsidRPr="002452C2">
              <w:rPr>
                <w:rFonts w:ascii="ＭＳ 明朝" w:eastAsia="ＭＳ 明朝" w:hAnsi="ＭＳ 明朝" w:cs="Malgun Gothic" w:hint="eastAsia"/>
                <w:sz w:val="16"/>
                <w:szCs w:val="16"/>
              </w:rPr>
              <w:t>末には</w:t>
            </w:r>
            <w:r w:rsidR="002452C2" w:rsidRPr="000B0DE7">
              <w:rPr>
                <w:rFonts w:ascii="ＭＳ ゴシック" w:eastAsia="ＭＳ ゴシック" w:hAnsi="ＭＳ ゴシック" w:cs="Malgun Gothic" w:hint="eastAsia"/>
                <w:sz w:val="16"/>
                <w:szCs w:val="16"/>
              </w:rPr>
              <w:t>「チャレンジ問題」</w:t>
            </w:r>
            <w:r w:rsidR="002452C2" w:rsidRPr="002452C2">
              <w:rPr>
                <w:rFonts w:ascii="ＭＳ 明朝" w:eastAsia="ＭＳ 明朝" w:hAnsi="ＭＳ 明朝" w:cs="Malgun Gothic" w:hint="eastAsia"/>
                <w:sz w:val="16"/>
                <w:szCs w:val="16"/>
              </w:rPr>
              <w:t>が配置されており</w:t>
            </w:r>
            <w:r w:rsidR="00595263">
              <w:rPr>
                <w:rFonts w:ascii="ＭＳ 明朝" w:eastAsia="ＭＳ 明朝" w:hAnsi="ＭＳ 明朝" w:cs="Malgun Gothic" w:hint="eastAsia"/>
                <w:sz w:val="16"/>
                <w:szCs w:val="16"/>
              </w:rPr>
              <w:t>、</w:t>
            </w:r>
            <w:r w:rsidR="002452C2" w:rsidRPr="002452C2">
              <w:rPr>
                <w:rFonts w:ascii="ＭＳ 明朝" w:eastAsia="ＭＳ 明朝" w:hAnsi="ＭＳ 明朝" w:cs="ＭＳ ゴシック" w:hint="eastAsia"/>
                <w:sz w:val="16"/>
                <w:szCs w:val="16"/>
              </w:rPr>
              <w:t>学</w:t>
            </w:r>
            <w:r w:rsidR="002452C2" w:rsidRPr="002452C2">
              <w:rPr>
                <w:rFonts w:ascii="ＭＳ 明朝" w:eastAsia="ＭＳ 明朝" w:hAnsi="ＭＳ 明朝" w:cs="Malgun Gothic" w:hint="eastAsia"/>
                <w:sz w:val="16"/>
                <w:szCs w:val="16"/>
              </w:rPr>
              <w:t>習</w:t>
            </w:r>
            <w:r w:rsidR="002452C2" w:rsidRPr="002452C2">
              <w:rPr>
                <w:rFonts w:ascii="ＭＳ 明朝" w:eastAsia="ＭＳ 明朝" w:hAnsi="ＭＳ 明朝" w:cs="ＭＳ ゴシック" w:hint="eastAsia"/>
                <w:sz w:val="16"/>
                <w:szCs w:val="16"/>
              </w:rPr>
              <w:t>内</w:t>
            </w:r>
            <w:r w:rsidR="002452C2" w:rsidRPr="002452C2">
              <w:rPr>
                <w:rFonts w:ascii="ＭＳ 明朝" w:eastAsia="ＭＳ 明朝" w:hAnsi="ＭＳ 明朝" w:cs="Malgun Gothic" w:hint="eastAsia"/>
                <w:sz w:val="16"/>
                <w:szCs w:val="16"/>
              </w:rPr>
              <w:t>容の定着が</w:t>
            </w:r>
            <w:r w:rsidR="002452C2" w:rsidRPr="002452C2">
              <w:rPr>
                <w:rFonts w:ascii="ＭＳ 明朝" w:eastAsia="ＭＳ 明朝" w:hAnsi="ＭＳ 明朝" w:cs="ＭＳ ゴシック" w:hint="eastAsia"/>
                <w:sz w:val="16"/>
                <w:szCs w:val="16"/>
              </w:rPr>
              <w:t>図</w:t>
            </w:r>
            <w:r w:rsidR="002452C2" w:rsidRPr="002452C2">
              <w:rPr>
                <w:rFonts w:ascii="ＭＳ 明朝" w:eastAsia="ＭＳ 明朝" w:hAnsi="ＭＳ 明朝" w:cs="Malgun Gothic" w:hint="eastAsia"/>
                <w:sz w:val="16"/>
                <w:szCs w:val="16"/>
              </w:rPr>
              <w:t>れるようになっている。</w:t>
            </w:r>
          </w:p>
          <w:p w14:paraId="58869BC8" w14:textId="6A038032" w:rsidR="00595263" w:rsidRPr="00595263" w:rsidRDefault="00595263" w:rsidP="00595263">
            <w:pPr>
              <w:snapToGrid w:val="0"/>
              <w:ind w:left="125" w:hangingChars="78" w:hanging="125"/>
              <w:rPr>
                <w:rFonts w:ascii="ＭＳ 明朝" w:eastAsia="ＭＳ 明朝" w:hAnsi="ＭＳ 明朝" w:cs="ＭＳ ゴシック" w:hint="eastAsia"/>
                <w:sz w:val="16"/>
                <w:szCs w:val="16"/>
              </w:rPr>
            </w:pPr>
            <w:r>
              <w:rPr>
                <w:rFonts w:ascii="ＭＳ ゴシック" w:eastAsia="ＭＳ ゴシック" w:hAnsi="ＭＳ ゴシック" w:cs="ＭＳ ゴシック" w:hint="eastAsia"/>
                <w:sz w:val="16"/>
                <w:szCs w:val="16"/>
              </w:rPr>
              <w:t>・</w:t>
            </w:r>
            <w:r w:rsidRPr="002452C2">
              <w:rPr>
                <w:rFonts w:ascii="ＭＳ 明朝" w:eastAsia="ＭＳ 明朝" w:hAnsi="ＭＳ 明朝" w:cs="ＭＳ 明朝" w:hint="eastAsia"/>
                <w:sz w:val="16"/>
                <w:szCs w:val="16"/>
              </w:rPr>
              <w:t>「</w:t>
            </w:r>
            <w:r w:rsidRPr="002452C2">
              <w:rPr>
                <w:rFonts w:ascii="ＭＳ 明朝" w:eastAsia="ＭＳ 明朝" w:hAnsi="ＭＳ 明朝" w:cs="ＭＳ ゴシック" w:hint="eastAsia"/>
                <w:sz w:val="16"/>
                <w:szCs w:val="16"/>
              </w:rPr>
              <w:t>発</w:t>
            </w:r>
            <w:r w:rsidRPr="002452C2">
              <w:rPr>
                <w:rFonts w:ascii="ＭＳ 明朝" w:eastAsia="ＭＳ 明朝" w:hAnsi="ＭＳ 明朝" w:cs="Malgun Gothic" w:hint="eastAsia"/>
                <w:sz w:val="16"/>
                <w:szCs w:val="16"/>
              </w:rPr>
              <w:t>展的な</w:t>
            </w:r>
            <w:r w:rsidRPr="002452C2">
              <w:rPr>
                <w:rFonts w:ascii="ＭＳ 明朝" w:eastAsia="ＭＳ 明朝" w:hAnsi="ＭＳ 明朝" w:cs="ＭＳ ゴシック" w:hint="eastAsia"/>
                <w:sz w:val="16"/>
                <w:szCs w:val="16"/>
              </w:rPr>
              <w:t>学</w:t>
            </w:r>
            <w:r w:rsidRPr="002452C2">
              <w:rPr>
                <w:rFonts w:ascii="ＭＳ 明朝" w:eastAsia="ＭＳ 明朝" w:hAnsi="ＭＳ 明朝" w:cs="Malgun Gothic" w:hint="eastAsia"/>
                <w:sz w:val="16"/>
                <w:szCs w:val="16"/>
              </w:rPr>
              <w:t>習</w:t>
            </w:r>
            <w:r w:rsidRPr="002452C2">
              <w:rPr>
                <w:rFonts w:ascii="ＭＳ 明朝" w:eastAsia="ＭＳ 明朝" w:hAnsi="ＭＳ 明朝" w:cs="ＭＳ ゴシック" w:hint="eastAsia"/>
                <w:sz w:val="16"/>
                <w:szCs w:val="16"/>
              </w:rPr>
              <w:t>内</w:t>
            </w:r>
            <w:r w:rsidRPr="002452C2">
              <w:rPr>
                <w:rFonts w:ascii="ＭＳ 明朝" w:eastAsia="ＭＳ 明朝" w:hAnsi="ＭＳ 明朝" w:cs="Malgun Gothic" w:hint="eastAsia"/>
                <w:sz w:val="16"/>
                <w:szCs w:val="16"/>
              </w:rPr>
              <w:t>容」には</w:t>
            </w:r>
            <w:r>
              <w:rPr>
                <w:rFonts w:ascii="ＭＳ 明朝" w:eastAsia="ＭＳ 明朝" w:hAnsi="ＭＳ 明朝" w:cs="Malgun Gothic" w:hint="eastAsia"/>
                <w:sz w:val="16"/>
                <w:szCs w:val="16"/>
              </w:rPr>
              <w:t>、</w:t>
            </w:r>
            <w:r w:rsidRPr="000B0DE7">
              <w:rPr>
                <w:rFonts w:ascii="ＭＳ ゴシック" w:eastAsia="ＭＳ ゴシック" w:hAnsi="ＭＳ ゴシック" w:cs="Malgun Gothic" w:hint="eastAsia"/>
                <w:sz w:val="16"/>
                <w:szCs w:val="16"/>
              </w:rPr>
              <w:t>「</w:t>
            </w:r>
            <w:r w:rsidRPr="000B0DE7">
              <w:rPr>
                <w:rFonts w:ascii="ＭＳ ゴシック" w:eastAsia="ＭＳ ゴシック" w:hAnsi="ＭＳ ゴシック" w:cs="ＭＳ ゴシック" w:hint="eastAsia"/>
                <w:sz w:val="16"/>
                <w:szCs w:val="16"/>
              </w:rPr>
              <w:t>発</w:t>
            </w:r>
            <w:r w:rsidRPr="000B0DE7">
              <w:rPr>
                <w:rFonts w:ascii="ＭＳ ゴシック" w:eastAsia="ＭＳ ゴシック" w:hAnsi="ＭＳ ゴシック" w:cs="Malgun Gothic" w:hint="eastAsia"/>
                <w:sz w:val="16"/>
                <w:szCs w:val="16"/>
              </w:rPr>
              <w:t>展」</w:t>
            </w:r>
            <w:r w:rsidRPr="002452C2">
              <w:rPr>
                <w:rFonts w:ascii="ＭＳ 明朝" w:eastAsia="ＭＳ 明朝" w:hAnsi="ＭＳ 明朝" w:cs="Malgun Gothic" w:hint="eastAsia"/>
                <w:sz w:val="16"/>
                <w:szCs w:val="16"/>
              </w:rPr>
              <w:t>マ</w:t>
            </w:r>
            <w:r w:rsidRPr="002452C2">
              <w:rPr>
                <w:rFonts w:ascii="ＭＳ 明朝" w:eastAsia="ＭＳ 明朝" w:hAnsi="ＭＳ 明朝" w:cs="ＭＳ ゴシック" w:hint="eastAsia"/>
                <w:sz w:val="16"/>
                <w:szCs w:val="16"/>
              </w:rPr>
              <w:t>ー</w:t>
            </w:r>
            <w:r w:rsidRPr="002452C2">
              <w:rPr>
                <w:rFonts w:ascii="ＭＳ 明朝" w:eastAsia="ＭＳ 明朝" w:hAnsi="ＭＳ 明朝" w:cs="Malgun Gothic" w:hint="eastAsia"/>
                <w:sz w:val="16"/>
                <w:szCs w:val="16"/>
              </w:rPr>
              <w:t>クを付し</w:t>
            </w:r>
            <w:r>
              <w:rPr>
                <w:rFonts w:ascii="ＭＳ 明朝" w:eastAsia="ＭＳ 明朝" w:hAnsi="ＭＳ 明朝" w:cs="Malgun Gothic" w:hint="eastAsia"/>
                <w:sz w:val="16"/>
                <w:szCs w:val="16"/>
              </w:rPr>
              <w:t>、</w:t>
            </w:r>
            <w:r w:rsidRPr="002452C2">
              <w:rPr>
                <w:rFonts w:ascii="ＭＳ 明朝" w:eastAsia="ＭＳ 明朝" w:hAnsi="ＭＳ 明朝" w:cs="Malgun Gothic" w:hint="eastAsia"/>
                <w:sz w:val="16"/>
                <w:szCs w:val="16"/>
              </w:rPr>
              <w:t>必修の</w:t>
            </w:r>
            <w:r w:rsidRPr="002452C2">
              <w:rPr>
                <w:rFonts w:ascii="ＭＳ 明朝" w:eastAsia="ＭＳ 明朝" w:hAnsi="ＭＳ 明朝" w:cs="ＭＳ ゴシック" w:hint="eastAsia"/>
                <w:sz w:val="16"/>
                <w:szCs w:val="16"/>
              </w:rPr>
              <w:t>学</w:t>
            </w:r>
            <w:r w:rsidRPr="002452C2">
              <w:rPr>
                <w:rFonts w:ascii="ＭＳ 明朝" w:eastAsia="ＭＳ 明朝" w:hAnsi="ＭＳ 明朝" w:cs="Malgun Gothic" w:hint="eastAsia"/>
                <w:sz w:val="16"/>
                <w:szCs w:val="16"/>
              </w:rPr>
              <w:t>習</w:t>
            </w:r>
            <w:r w:rsidRPr="002452C2">
              <w:rPr>
                <w:rFonts w:ascii="ＭＳ 明朝" w:eastAsia="ＭＳ 明朝" w:hAnsi="ＭＳ 明朝" w:cs="ＭＳ ゴシック" w:hint="eastAsia"/>
                <w:sz w:val="16"/>
                <w:szCs w:val="16"/>
              </w:rPr>
              <w:t>内</w:t>
            </w:r>
            <w:r w:rsidRPr="002452C2">
              <w:rPr>
                <w:rFonts w:ascii="ＭＳ 明朝" w:eastAsia="ＭＳ 明朝" w:hAnsi="ＭＳ 明朝" w:cs="Malgun Gothic" w:hint="eastAsia"/>
                <w:sz w:val="16"/>
                <w:szCs w:val="16"/>
              </w:rPr>
              <w:t>容と明確に</w:t>
            </w:r>
            <w:r w:rsidRPr="002452C2">
              <w:rPr>
                <w:rFonts w:ascii="ＭＳ 明朝" w:eastAsia="ＭＳ 明朝" w:hAnsi="ＭＳ 明朝" w:cs="ＭＳ ゴシック" w:hint="eastAsia"/>
                <w:sz w:val="16"/>
                <w:szCs w:val="16"/>
              </w:rPr>
              <w:t>区</w:t>
            </w:r>
            <w:r w:rsidRPr="002452C2">
              <w:rPr>
                <w:rFonts w:ascii="ＭＳ 明朝" w:eastAsia="ＭＳ 明朝" w:hAnsi="ＭＳ 明朝" w:cs="Malgun Gothic" w:hint="eastAsia"/>
                <w:sz w:val="16"/>
                <w:szCs w:val="16"/>
              </w:rPr>
              <w:t>分けしている。</w:t>
            </w:r>
          </w:p>
        </w:tc>
      </w:tr>
      <w:tr w:rsidR="000B06D6" w:rsidRPr="000B06D6" w14:paraId="73837A62" w14:textId="77777777" w:rsidTr="00595263">
        <w:trPr>
          <w:cantSplit/>
          <w:trHeight w:val="1134"/>
        </w:trPr>
        <w:tc>
          <w:tcPr>
            <w:tcW w:w="704" w:type="dxa"/>
            <w:textDirection w:val="tbRlV"/>
            <w:vAlign w:val="center"/>
          </w:tcPr>
          <w:p w14:paraId="5E4EBBE8" w14:textId="77777777" w:rsidR="000B06D6" w:rsidRPr="009A0D71" w:rsidRDefault="000B06D6" w:rsidP="00446709">
            <w:pPr>
              <w:adjustRightInd w:val="0"/>
              <w:snapToGrid w:val="0"/>
              <w:spacing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組織・配列・分量</w:t>
            </w:r>
          </w:p>
        </w:tc>
        <w:tc>
          <w:tcPr>
            <w:tcW w:w="2268" w:type="dxa"/>
          </w:tcPr>
          <w:p w14:paraId="0B7BBD23" w14:textId="6D09617C" w:rsidR="002452C2" w:rsidRPr="002452C2" w:rsidRDefault="00857C0D" w:rsidP="00595263">
            <w:pPr>
              <w:snapToGrid w:val="0"/>
              <w:spacing w:line="0" w:lineRule="atLeast"/>
              <w:ind w:leftChars="1" w:left="146" w:hangingChars="90" w:hanging="144"/>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内容の組織・配列は</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学習指導を有効</w:t>
            </w:r>
            <w:r w:rsidR="002452C2" w:rsidRPr="002452C2">
              <w:rPr>
                <w:rFonts w:ascii="ＭＳ 明朝" w:eastAsia="ＭＳ 明朝" w:hAnsi="ＭＳ 明朝" w:hint="eastAsia"/>
                <w:sz w:val="16"/>
                <w:szCs w:val="16"/>
              </w:rPr>
              <w:t>に進められるように考慮されているか。</w:t>
            </w:r>
          </w:p>
          <w:p w14:paraId="01149DD5" w14:textId="08974D40" w:rsidR="002452C2" w:rsidRPr="002452C2" w:rsidRDefault="00857C0D" w:rsidP="00595263">
            <w:pPr>
              <w:snapToGrid w:val="0"/>
              <w:spacing w:line="0" w:lineRule="atLeast"/>
              <w:ind w:leftChars="1" w:left="146" w:hangingChars="90" w:hanging="144"/>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分量は学習指導を有効に進められるよ</w:t>
            </w:r>
            <w:r w:rsidR="002452C2" w:rsidRPr="002452C2">
              <w:rPr>
                <w:rFonts w:ascii="ＭＳ 明朝" w:eastAsia="ＭＳ 明朝" w:hAnsi="ＭＳ 明朝" w:hint="eastAsia"/>
                <w:sz w:val="16"/>
                <w:szCs w:val="16"/>
              </w:rPr>
              <w:t>うに考慮され</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精選されているか。</w:t>
            </w:r>
          </w:p>
          <w:p w14:paraId="4FA43A93" w14:textId="2F7B5470" w:rsidR="002452C2" w:rsidRPr="002452C2" w:rsidRDefault="00857C0D" w:rsidP="00595263">
            <w:pPr>
              <w:snapToGrid w:val="0"/>
              <w:spacing w:line="0" w:lineRule="atLeast"/>
              <w:ind w:leftChars="1" w:left="146" w:hangingChars="90" w:hanging="144"/>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中高の接続に対する配慮がなされてい</w:t>
            </w:r>
            <w:r w:rsidR="002452C2" w:rsidRPr="002452C2">
              <w:rPr>
                <w:rFonts w:ascii="ＭＳ 明朝" w:eastAsia="ＭＳ 明朝" w:hAnsi="ＭＳ 明朝" w:hint="eastAsia"/>
                <w:sz w:val="16"/>
                <w:szCs w:val="16"/>
              </w:rPr>
              <w:t>るか。</w:t>
            </w:r>
          </w:p>
          <w:p w14:paraId="30B075E3" w14:textId="29630B67" w:rsidR="000B06D6" w:rsidRPr="009A0D71" w:rsidRDefault="00857C0D" w:rsidP="00595263">
            <w:pPr>
              <w:snapToGrid w:val="0"/>
              <w:spacing w:line="0" w:lineRule="atLeast"/>
              <w:ind w:leftChars="1" w:left="146" w:hangingChars="90" w:hanging="144"/>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弾力的な取り扱いに対する配慮がなさ</w:t>
            </w:r>
            <w:r w:rsidR="002452C2" w:rsidRPr="002452C2">
              <w:rPr>
                <w:rFonts w:ascii="ＭＳ 明朝" w:eastAsia="ＭＳ 明朝" w:hAnsi="ＭＳ 明朝" w:hint="eastAsia"/>
                <w:sz w:val="16"/>
                <w:szCs w:val="16"/>
              </w:rPr>
              <w:t>れているか。</w:t>
            </w:r>
          </w:p>
        </w:tc>
        <w:tc>
          <w:tcPr>
            <w:tcW w:w="6804" w:type="dxa"/>
          </w:tcPr>
          <w:p w14:paraId="6294BF80" w14:textId="7FF992C5" w:rsidR="002452C2" w:rsidRPr="002452C2" w:rsidRDefault="000B0DE7" w:rsidP="00595263">
            <w:pPr>
              <w:snapToGrid w:val="0"/>
              <w:ind w:left="125" w:hangingChars="78" w:hanging="125"/>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本文は簡潔で</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内容が精選されている。さらに</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深めて学習したい生徒向けに</w:t>
            </w:r>
            <w:r w:rsidR="002452C2" w:rsidRPr="000B0DE7">
              <w:rPr>
                <w:rFonts w:ascii="ＭＳ ゴシック" w:eastAsia="ＭＳ ゴシック" w:hAnsi="ＭＳ ゴシック" w:cs="ＭＳ 明朝" w:hint="eastAsia"/>
                <w:sz w:val="16"/>
                <w:szCs w:val="16"/>
              </w:rPr>
              <w:t>「発展」</w:t>
            </w:r>
            <w:r w:rsidR="002452C2" w:rsidRPr="002452C2">
              <w:rPr>
                <w:rFonts w:ascii="ＭＳ 明朝" w:eastAsia="ＭＳ 明朝" w:hAnsi="ＭＳ 明朝" w:cs="ＭＳ 明朝" w:hint="eastAsia"/>
                <w:sz w:val="16"/>
                <w:szCs w:val="16"/>
              </w:rPr>
              <w:t>が設</w:t>
            </w:r>
            <w:r w:rsidR="002452C2" w:rsidRPr="002452C2">
              <w:rPr>
                <w:rFonts w:ascii="ＭＳ 明朝" w:eastAsia="ＭＳ 明朝" w:hAnsi="ＭＳ 明朝" w:hint="eastAsia"/>
                <w:sz w:val="16"/>
                <w:szCs w:val="16"/>
              </w:rPr>
              <w:t>けられている。</w:t>
            </w:r>
            <w:r w:rsidR="002452C2" w:rsidRPr="000B0DE7">
              <w:rPr>
                <w:rFonts w:ascii="ＭＳ ゴシック" w:eastAsia="ＭＳ ゴシック" w:hAnsi="ＭＳ ゴシック" w:hint="eastAsia"/>
                <w:sz w:val="16"/>
                <w:szCs w:val="16"/>
              </w:rPr>
              <w:t>「発展」</w:t>
            </w:r>
            <w:r w:rsidR="002452C2" w:rsidRPr="002452C2">
              <w:rPr>
                <w:rFonts w:ascii="ＭＳ 明朝" w:eastAsia="ＭＳ 明朝" w:hAnsi="ＭＳ 明朝" w:hint="eastAsia"/>
                <w:sz w:val="16"/>
                <w:szCs w:val="16"/>
              </w:rPr>
              <w:t>の取り扱いは</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必修の学習内容と関連が図られており</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程度・分量とも</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過度な負担にならないように配慮されている。</w:t>
            </w:r>
          </w:p>
          <w:p w14:paraId="36E8EB20" w14:textId="711001CB" w:rsidR="002452C2" w:rsidRPr="002452C2" w:rsidRDefault="000B0DE7" w:rsidP="00595263">
            <w:pPr>
              <w:snapToGrid w:val="0"/>
              <w:ind w:left="125" w:hangingChars="78" w:hanging="125"/>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学習内容</w:t>
            </w:r>
            <w:r w:rsidR="002452C2" w:rsidRPr="002452C2">
              <w:rPr>
                <w:rFonts w:ascii="ＭＳ 明朝" w:eastAsia="ＭＳ 明朝" w:hAnsi="ＭＳ 明朝" w:hint="eastAsia"/>
                <w:sz w:val="16"/>
                <w:szCs w:val="16"/>
              </w:rPr>
              <w:t>に関連する既習事項を確認できるように</w:t>
            </w:r>
            <w:r w:rsidR="002452C2" w:rsidRPr="000B0DE7">
              <w:rPr>
                <w:rFonts w:ascii="ＭＳ ゴシック" w:eastAsia="ＭＳ ゴシック" w:hAnsi="ＭＳ ゴシック" w:hint="eastAsia"/>
                <w:sz w:val="16"/>
                <w:szCs w:val="16"/>
              </w:rPr>
              <w:t>「中学校とのつながり」</w:t>
            </w:r>
            <w:r w:rsidR="002452C2" w:rsidRPr="002452C2">
              <w:rPr>
                <w:rFonts w:ascii="ＭＳ 明朝" w:eastAsia="ＭＳ 明朝" w:hAnsi="ＭＳ 明朝" w:hint="eastAsia"/>
                <w:sz w:val="16"/>
                <w:szCs w:val="16"/>
              </w:rPr>
              <w:t>が設けられている。また</w:t>
            </w:r>
            <w:r w:rsidR="00595263">
              <w:rPr>
                <w:rFonts w:ascii="ＭＳ 明朝" w:eastAsia="ＭＳ 明朝" w:hAnsi="ＭＳ 明朝" w:hint="eastAsia"/>
                <w:sz w:val="16"/>
                <w:szCs w:val="16"/>
              </w:rPr>
              <w:t>、</w:t>
            </w:r>
            <w:r w:rsidR="002452C2" w:rsidRPr="000B0DE7">
              <w:rPr>
                <w:rFonts w:ascii="ＭＳ ゴシック" w:eastAsia="ＭＳ ゴシック" w:hAnsi="ＭＳ ゴシック" w:hint="eastAsia"/>
                <w:sz w:val="16"/>
                <w:szCs w:val="16"/>
              </w:rPr>
              <w:t>二次元コードコンテンツ</w:t>
            </w:r>
            <w:r w:rsidR="002452C2" w:rsidRPr="002452C2">
              <w:rPr>
                <w:rFonts w:ascii="ＭＳ 明朝" w:eastAsia="ＭＳ 明朝" w:hAnsi="ＭＳ 明朝" w:hint="eastAsia"/>
                <w:sz w:val="16"/>
                <w:szCs w:val="16"/>
              </w:rPr>
              <w:t>で中学校の教科書の「学習のまとめ」の紙面を確認できる。</w:t>
            </w:r>
          </w:p>
          <w:p w14:paraId="02076949" w14:textId="3E890BC6" w:rsidR="002452C2" w:rsidRPr="001105BA" w:rsidRDefault="000B0DE7" w:rsidP="00595263">
            <w:pPr>
              <w:snapToGrid w:val="0"/>
              <w:ind w:left="125" w:hangingChars="78" w:hanging="125"/>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w:t>
            </w:r>
            <w:r w:rsidR="002452C2" w:rsidRPr="002452C2">
              <w:rPr>
                <w:rFonts w:ascii="ＭＳ 明朝" w:eastAsia="ＭＳ 明朝" w:hAnsi="ＭＳ 明朝" w:cs="ＭＳ 明朝" w:hint="eastAsia"/>
                <w:sz w:val="16"/>
                <w:szCs w:val="16"/>
              </w:rPr>
              <w:t>節の構成が</w:t>
            </w:r>
            <w:r w:rsidR="00595263">
              <w:rPr>
                <w:rFonts w:ascii="ＭＳ 明朝" w:eastAsia="ＭＳ 明朝" w:hAnsi="ＭＳ 明朝" w:cs="ＭＳ 明朝" w:hint="eastAsia"/>
                <w:sz w:val="16"/>
                <w:szCs w:val="16"/>
              </w:rPr>
              <w:t>、</w:t>
            </w:r>
            <w:r w:rsidR="002452C2" w:rsidRPr="000B0DE7">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sz w:val="16"/>
                <w:szCs w:val="16"/>
              </w:rPr>
              <w:t>Let</w:t>
            </w:r>
            <w:r w:rsidR="002452C2" w:rsidRPr="00446709">
              <w:rPr>
                <w:rFonts w:asciiTheme="majorEastAsia" w:eastAsiaTheme="majorEastAsia" w:hAnsiTheme="majorEastAsia"/>
                <w:sz w:val="16"/>
                <w:szCs w:val="16"/>
              </w:rPr>
              <w:t>’</w:t>
            </w:r>
            <w:r w:rsidR="002452C2" w:rsidRPr="000B0DE7">
              <w:rPr>
                <w:rFonts w:ascii="ＭＳ ゴシック" w:eastAsia="ＭＳ ゴシック" w:hAnsi="ＭＳ ゴシック"/>
                <w:sz w:val="16"/>
                <w:szCs w:val="16"/>
              </w:rPr>
              <w:t xml:space="preserve">s </w:t>
            </w:r>
            <w:r w:rsidR="00595263">
              <w:rPr>
                <w:rFonts w:ascii="ＭＳ ゴシック" w:eastAsia="ＭＳ ゴシック" w:hAnsi="ＭＳ ゴシック"/>
                <w:sz w:val="16"/>
                <w:szCs w:val="16"/>
              </w:rPr>
              <w:t>s</w:t>
            </w:r>
            <w:r w:rsidR="002452C2" w:rsidRPr="000B0DE7">
              <w:rPr>
                <w:rFonts w:ascii="ＭＳ ゴシック" w:eastAsia="ＭＳ ゴシック" w:hAnsi="ＭＳ ゴシック"/>
                <w:sz w:val="16"/>
                <w:szCs w:val="16"/>
              </w:rPr>
              <w:t>tart!」→「？」（学習の問い）→（「実習」）→本文→「！」（この節のポイ</w:t>
            </w:r>
            <w:r w:rsidR="002452C2" w:rsidRPr="000B0DE7">
              <w:rPr>
                <w:rFonts w:ascii="ＭＳ ゴシック" w:eastAsia="ＭＳ ゴシック" w:hAnsi="ＭＳ ゴシック" w:hint="eastAsia"/>
                <w:sz w:val="16"/>
                <w:szCs w:val="16"/>
              </w:rPr>
              <w:t>ント）</w:t>
            </w:r>
            <w:r w:rsidR="002452C2" w:rsidRPr="002452C2">
              <w:rPr>
                <w:rFonts w:ascii="ＭＳ 明朝" w:eastAsia="ＭＳ 明朝" w:hAnsi="ＭＳ 明朝" w:hint="eastAsia"/>
                <w:sz w:val="16"/>
                <w:szCs w:val="16"/>
              </w:rPr>
              <w:t>で構成されており</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生徒が主体的に課題を見いだして学習を進められるように工夫されている。</w:t>
            </w:r>
          </w:p>
          <w:p w14:paraId="5B043F50" w14:textId="00F71999" w:rsidR="002452C2" w:rsidRPr="001105BA" w:rsidRDefault="000B0DE7" w:rsidP="00595263">
            <w:pPr>
              <w:snapToGrid w:val="0"/>
              <w:ind w:left="125" w:hangingChars="78" w:hanging="125"/>
              <w:rPr>
                <w:rFonts w:ascii="ＭＳ ゴシック" w:eastAsia="ＭＳ ゴシック" w:hAnsi="ＭＳ ゴシック" w:cs="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現在学習している内容が</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章や項目のなかで</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どこに位置付いているかを</w:t>
            </w:r>
            <w:r w:rsidR="002452C2" w:rsidRPr="000B0DE7">
              <w:rPr>
                <w:rFonts w:ascii="ＭＳ ゴシック" w:eastAsia="ＭＳ ゴシック" w:hAnsi="ＭＳ ゴシック" w:cs="ＭＳ 明朝" w:hint="eastAsia"/>
                <w:sz w:val="16"/>
                <w:szCs w:val="16"/>
              </w:rPr>
              <w:t>「ナビ」</w:t>
            </w:r>
            <w:r w:rsidR="002452C2" w:rsidRPr="002452C2">
              <w:rPr>
                <w:rFonts w:ascii="ＭＳ 明朝" w:eastAsia="ＭＳ 明朝" w:hAnsi="ＭＳ 明朝" w:cs="ＭＳ 明朝" w:hint="eastAsia"/>
                <w:sz w:val="16"/>
                <w:szCs w:val="16"/>
              </w:rPr>
              <w:t>で示され</w:t>
            </w:r>
            <w:r w:rsidR="002452C2" w:rsidRPr="002452C2">
              <w:rPr>
                <w:rFonts w:ascii="ＭＳ 明朝" w:eastAsia="ＭＳ 明朝" w:hAnsi="ＭＳ 明朝" w:hint="eastAsia"/>
                <w:sz w:val="16"/>
                <w:szCs w:val="16"/>
              </w:rPr>
              <w:t>ている。</w:t>
            </w:r>
          </w:p>
          <w:p w14:paraId="04CACF68" w14:textId="2359E6B1" w:rsidR="00595263" w:rsidRPr="00595263" w:rsidRDefault="000B0DE7" w:rsidP="00595263">
            <w:pPr>
              <w:snapToGrid w:val="0"/>
              <w:ind w:left="125" w:hangingChars="78" w:hanging="125"/>
              <w:rPr>
                <w:rFonts w:ascii="ＭＳ 明朝" w:eastAsia="ＭＳ 明朝" w:hAnsi="ＭＳ 明朝" w:hint="eastAsia"/>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学習内容を広げたり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深めたり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振り返ったりするた</w:t>
            </w:r>
            <w:r w:rsidR="002452C2" w:rsidRPr="002452C2">
              <w:rPr>
                <w:rFonts w:ascii="ＭＳ 明朝" w:eastAsia="ＭＳ 明朝" w:hAnsi="ＭＳ 明朝" w:hint="eastAsia"/>
                <w:sz w:val="16"/>
                <w:szCs w:val="16"/>
              </w:rPr>
              <w:t>めのさまざまな</w:t>
            </w:r>
            <w:r w:rsidR="002452C2" w:rsidRPr="000B0DE7">
              <w:rPr>
                <w:rFonts w:ascii="ＭＳ ゴシック" w:eastAsia="ＭＳ ゴシック" w:hAnsi="ＭＳ ゴシック" w:hint="eastAsia"/>
                <w:sz w:val="16"/>
                <w:szCs w:val="16"/>
              </w:rPr>
              <w:t>活動「やってみよう」</w:t>
            </w:r>
            <w:r w:rsidR="002452C2" w:rsidRPr="002452C2">
              <w:rPr>
                <w:rFonts w:ascii="ＭＳ 明朝" w:eastAsia="ＭＳ 明朝" w:hAnsi="ＭＳ 明朝" w:hint="eastAsia"/>
                <w:sz w:val="16"/>
                <w:szCs w:val="16"/>
              </w:rPr>
              <w:t>が適切な箇所に配置されており</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授業や学習の進度に応じて取り組むことができるように配慮されている。</w:t>
            </w:r>
          </w:p>
        </w:tc>
      </w:tr>
      <w:tr w:rsidR="000B06D6" w:rsidRPr="00072565" w14:paraId="73835DD9" w14:textId="77777777" w:rsidTr="00595263">
        <w:trPr>
          <w:cantSplit/>
          <w:trHeight w:val="1134"/>
        </w:trPr>
        <w:tc>
          <w:tcPr>
            <w:tcW w:w="704" w:type="dxa"/>
            <w:textDirection w:val="tbRlV"/>
            <w:vAlign w:val="center"/>
          </w:tcPr>
          <w:p w14:paraId="15FAE4E2" w14:textId="77777777" w:rsidR="000B06D6" w:rsidRPr="009A0D71" w:rsidRDefault="000B06D6" w:rsidP="00446709">
            <w:pPr>
              <w:adjustRightInd w:val="0"/>
              <w:snapToGrid w:val="0"/>
              <w:spacing w:line="0" w:lineRule="atLeast"/>
              <w:ind w:left="113" w:right="113"/>
              <w:jc w:val="center"/>
              <w:rPr>
                <w:rFonts w:ascii="ＭＳ ゴシック" w:eastAsia="ＭＳ ゴシック" w:hAnsi="ＭＳ ゴシック"/>
                <w:sz w:val="16"/>
                <w:szCs w:val="16"/>
              </w:rPr>
            </w:pPr>
            <w:r w:rsidRPr="009A0D71">
              <w:rPr>
                <w:rFonts w:ascii="ＭＳ ゴシック" w:eastAsia="ＭＳ ゴシック" w:hAnsi="ＭＳ ゴシック"/>
                <w:sz w:val="18"/>
                <w:szCs w:val="16"/>
              </w:rPr>
              <w:t>表記・表現及び指導に対する工夫や配慮</w:t>
            </w:r>
          </w:p>
        </w:tc>
        <w:tc>
          <w:tcPr>
            <w:tcW w:w="2268" w:type="dxa"/>
          </w:tcPr>
          <w:p w14:paraId="5D82AB68"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・学習意欲を高めるための配慮がなされているか。</w:t>
            </w:r>
          </w:p>
          <w:p w14:paraId="78F69210"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・個に応じた指導への工夫がなされているか。</w:t>
            </w:r>
          </w:p>
          <w:p w14:paraId="264E757D"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・生徒の自学自習への配慮や工夫がなされているか。</w:t>
            </w:r>
          </w:p>
          <w:p w14:paraId="2AFDF1B0"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・持続可能な社会をつくる力を育成するための工夫がなされているか。</w:t>
            </w:r>
          </w:p>
          <w:p w14:paraId="6B2DA608"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・用語・記号の取り上げ方や記述のしかたは適切か。</w:t>
            </w:r>
          </w:p>
          <w:p w14:paraId="51476A7B"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・文章、図やイラストは、わかりやすいものになっているか。</w:t>
            </w:r>
          </w:p>
          <w:p w14:paraId="3BCCC7FA" w14:textId="77777777" w:rsidR="00627CF4" w:rsidRPr="00627CF4" w:rsidRDefault="00627CF4" w:rsidP="00595263">
            <w:pPr>
              <w:snapToGrid w:val="0"/>
              <w:ind w:left="173" w:hangingChars="108" w:hanging="173"/>
              <w:rPr>
                <w:rFonts w:ascii="ＭＳ 明朝" w:eastAsia="ＭＳ 明朝" w:hAnsi="ＭＳ 明朝" w:cs="Malgun Gothic"/>
                <w:sz w:val="16"/>
                <w:szCs w:val="16"/>
              </w:rPr>
            </w:pPr>
            <w:r w:rsidRPr="00627CF4">
              <w:rPr>
                <w:rFonts w:ascii="ＭＳ 明朝" w:eastAsia="ＭＳ 明朝" w:hAnsi="ＭＳ 明朝" w:cs="Malgun Gothic" w:hint="eastAsia"/>
                <w:sz w:val="16"/>
                <w:szCs w:val="16"/>
              </w:rPr>
              <w:t>・コンピュータやインターネットなど、</w:t>
            </w:r>
            <w:r w:rsidRPr="00627CF4">
              <w:rPr>
                <w:rFonts w:ascii="ＭＳ 明朝" w:eastAsia="ＭＳ 明朝" w:hAnsi="ＭＳ 明朝" w:cs="Malgun Gothic"/>
                <w:sz w:val="16"/>
                <w:szCs w:val="16"/>
              </w:rPr>
              <w:t>ICT の効果的な活用への配慮や工夫がなされているか。</w:t>
            </w:r>
          </w:p>
          <w:p w14:paraId="27F5E4E9" w14:textId="3A208CC0" w:rsidR="000B06D6" w:rsidRPr="009A0D71" w:rsidRDefault="00627CF4" w:rsidP="00595263">
            <w:pPr>
              <w:snapToGrid w:val="0"/>
              <w:ind w:left="173" w:hangingChars="108" w:hanging="173"/>
              <w:rPr>
                <w:rFonts w:ascii="ＭＳ 明朝" w:eastAsia="ＭＳ 明朝" w:hAnsi="ＭＳ 明朝" w:cs="游明朝"/>
                <w:sz w:val="16"/>
                <w:szCs w:val="16"/>
              </w:rPr>
            </w:pPr>
            <w:r w:rsidRPr="00627CF4">
              <w:rPr>
                <w:rFonts w:ascii="ＭＳ 明朝" w:eastAsia="ＭＳ 明朝" w:hAnsi="ＭＳ 明朝" w:cs="Malgun Gothic" w:hint="eastAsia"/>
                <w:sz w:val="16"/>
                <w:szCs w:val="16"/>
              </w:rPr>
              <w:t>・指導書や周辺教材での工夫や配慮がなされているか。</w:t>
            </w:r>
          </w:p>
        </w:tc>
        <w:tc>
          <w:tcPr>
            <w:tcW w:w="6804" w:type="dxa"/>
          </w:tcPr>
          <w:p w14:paraId="1F5B7F29" w14:textId="4FC9BA4E"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節ごとに</w:t>
            </w:r>
            <w:r w:rsidR="002452C2" w:rsidRPr="000B0DE7">
              <w:rPr>
                <w:rFonts w:ascii="ＭＳ ゴシック" w:eastAsia="ＭＳ ゴシック" w:hAnsi="ＭＳ ゴシック" w:cs="ＭＳ 明朝" w:hint="eastAsia"/>
                <w:sz w:val="16"/>
                <w:szCs w:val="16"/>
              </w:rPr>
              <w:t>「？」（学習の問い）</w:t>
            </w:r>
            <w:r w:rsidR="002452C2" w:rsidRPr="002452C2">
              <w:rPr>
                <w:rFonts w:ascii="ＭＳ 明朝" w:eastAsia="ＭＳ 明朝" w:hAnsi="ＭＳ 明朝" w:cs="ＭＳ 明朝" w:hint="eastAsia"/>
                <w:sz w:val="16"/>
                <w:szCs w:val="16"/>
              </w:rPr>
              <w:t>と</w:t>
            </w:r>
            <w:r w:rsidR="002452C2" w:rsidRPr="000B0DE7">
              <w:rPr>
                <w:rFonts w:ascii="ＭＳ ゴシック" w:eastAsia="ＭＳ ゴシック" w:hAnsi="ＭＳ ゴシック" w:cs="ＭＳ 明朝" w:hint="eastAsia"/>
                <w:sz w:val="16"/>
                <w:szCs w:val="16"/>
              </w:rPr>
              <w:t>「！」（この節のポイント）</w:t>
            </w:r>
            <w:r w:rsidR="002452C2" w:rsidRPr="002452C2">
              <w:rPr>
                <w:rFonts w:ascii="ＭＳ 明朝" w:eastAsia="ＭＳ 明朝" w:hAnsi="ＭＳ 明朝" w:cs="ＭＳ 明朝" w:hint="eastAsia"/>
                <w:sz w:val="16"/>
                <w:szCs w:val="16"/>
              </w:rPr>
              <w:t>が設けられており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課題意識をもっ</w:t>
            </w:r>
            <w:r w:rsidR="002452C2" w:rsidRPr="002452C2">
              <w:rPr>
                <w:rFonts w:ascii="ＭＳ 明朝" w:eastAsia="ＭＳ 明朝" w:hAnsi="ＭＳ 明朝" w:cs="游明朝" w:hint="eastAsia"/>
                <w:sz w:val="16"/>
                <w:szCs w:val="16"/>
              </w:rPr>
              <w:t>て学習が進められるように工夫されている。また</w:t>
            </w:r>
            <w:r w:rsidR="00595263">
              <w:rPr>
                <w:rFonts w:ascii="ＭＳ 明朝" w:eastAsia="ＭＳ 明朝" w:hAnsi="ＭＳ 明朝" w:cs="游明朝" w:hint="eastAsia"/>
                <w:sz w:val="16"/>
                <w:szCs w:val="16"/>
              </w:rPr>
              <w:t>、</w:t>
            </w:r>
            <w:r w:rsidR="002452C2" w:rsidRPr="000B0DE7">
              <w:rPr>
                <w:rFonts w:ascii="ＭＳ ゴシック" w:eastAsia="ＭＳ ゴシック" w:hAnsi="ＭＳ ゴシック" w:cs="游明朝" w:hint="eastAsia"/>
                <w:sz w:val="16"/>
                <w:szCs w:val="16"/>
              </w:rPr>
              <w:t>「？」（学習の問い）</w:t>
            </w:r>
            <w:r w:rsidR="002452C2" w:rsidRPr="002452C2">
              <w:rPr>
                <w:rFonts w:ascii="ＭＳ 明朝" w:eastAsia="ＭＳ 明朝" w:hAnsi="ＭＳ 明朝" w:cs="游明朝" w:hint="eastAsia"/>
                <w:sz w:val="16"/>
                <w:szCs w:val="16"/>
              </w:rPr>
              <w:t>の下には</w:t>
            </w:r>
            <w:r w:rsidR="002452C2" w:rsidRPr="000B0DE7">
              <w:rPr>
                <w:rFonts w:ascii="ＭＳ ゴシック" w:eastAsia="ＭＳ ゴシック" w:hAnsi="ＭＳ ゴシック" w:cs="游明朝" w:hint="eastAsia"/>
                <w:sz w:val="16"/>
                <w:szCs w:val="16"/>
              </w:rPr>
              <w:t>キャラクター</w:t>
            </w:r>
            <w:r w:rsidR="002452C2" w:rsidRPr="002452C2">
              <w:rPr>
                <w:rFonts w:ascii="ＭＳ 明朝" w:eastAsia="ＭＳ 明朝" w:hAnsi="ＭＳ 明朝" w:cs="游明朝" w:hint="eastAsia"/>
                <w:sz w:val="16"/>
                <w:szCs w:val="16"/>
              </w:rPr>
              <w:t>が登場し</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生徒が主体的・対話的に探究するきっかけをサポートする配慮がされている。</w:t>
            </w:r>
          </w:p>
          <w:p w14:paraId="142A0A6F" w14:textId="66CC1DE6"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文章は簡潔で</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重要用語を中心に振り仮名がふってあり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生徒が読みやすいように配慮がさ</w:t>
            </w:r>
            <w:r w:rsidR="002452C2" w:rsidRPr="002452C2">
              <w:rPr>
                <w:rFonts w:ascii="ＭＳ 明朝" w:eastAsia="ＭＳ 明朝" w:hAnsi="ＭＳ 明朝" w:cs="游明朝" w:hint="eastAsia"/>
                <w:sz w:val="16"/>
                <w:szCs w:val="16"/>
              </w:rPr>
              <w:t>れている。</w:t>
            </w:r>
          </w:p>
          <w:p w14:paraId="2BDF0331" w14:textId="04B769AC"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章末の</w:t>
            </w:r>
            <w:r w:rsidR="002452C2" w:rsidRPr="000B0DE7">
              <w:rPr>
                <w:rFonts w:ascii="ＭＳ ゴシック" w:eastAsia="ＭＳ ゴシック" w:hAnsi="ＭＳ ゴシック" w:cs="ＭＳ 明朝" w:hint="eastAsia"/>
                <w:sz w:val="16"/>
                <w:szCs w:val="16"/>
              </w:rPr>
              <w:t>「章末のまとめ」（用語の確認</w:t>
            </w:r>
            <w:r w:rsidR="00595263">
              <w:rPr>
                <w:rFonts w:ascii="ＭＳ ゴシック" w:eastAsia="ＭＳ ゴシック" w:hAnsi="ＭＳ ゴシック" w:cs="ＭＳ 明朝" w:hint="eastAsia"/>
                <w:sz w:val="16"/>
                <w:szCs w:val="16"/>
              </w:rPr>
              <w:t>、</w:t>
            </w:r>
            <w:r w:rsidR="002452C2" w:rsidRPr="000B0DE7">
              <w:rPr>
                <w:rFonts w:ascii="ＭＳ ゴシック" w:eastAsia="ＭＳ ゴシック" w:hAnsi="ＭＳ ゴシック" w:cs="ＭＳ 明朝" w:hint="eastAsia"/>
                <w:sz w:val="16"/>
                <w:szCs w:val="16"/>
              </w:rPr>
              <w:t>まとめパネル）</w:t>
            </w:r>
            <w:r w:rsidR="002452C2" w:rsidRPr="002452C2">
              <w:rPr>
                <w:rFonts w:ascii="ＭＳ 明朝" w:eastAsia="ＭＳ 明朝" w:hAnsi="ＭＳ 明朝" w:cs="ＭＳ 明朝" w:hint="eastAsia"/>
                <w:sz w:val="16"/>
                <w:szCs w:val="16"/>
              </w:rPr>
              <w:t>と</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巻末の</w:t>
            </w:r>
            <w:r w:rsidR="002452C2" w:rsidRPr="000B0DE7">
              <w:rPr>
                <w:rFonts w:ascii="ＭＳ ゴシック" w:eastAsia="ＭＳ ゴシック" w:hAnsi="ＭＳ ゴシック" w:cs="ＭＳ 明朝" w:hint="eastAsia"/>
                <w:sz w:val="16"/>
                <w:szCs w:val="16"/>
              </w:rPr>
              <w:t>「チャレンジ問題」</w:t>
            </w:r>
            <w:r w:rsidR="002452C2" w:rsidRPr="002452C2">
              <w:rPr>
                <w:rFonts w:ascii="ＭＳ 明朝" w:eastAsia="ＭＳ 明朝" w:hAnsi="ＭＳ 明朝" w:cs="ＭＳ 明朝" w:hint="eastAsia"/>
                <w:sz w:val="16"/>
                <w:szCs w:val="16"/>
              </w:rPr>
              <w:t>の解答は</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游明朝" w:hint="eastAsia"/>
                <w:sz w:val="16"/>
                <w:szCs w:val="16"/>
              </w:rPr>
              <w:t>巻末に掲載されており</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自学自習への配慮がされている。</w:t>
            </w:r>
          </w:p>
          <w:p w14:paraId="258A317D" w14:textId="1F7A6E21" w:rsidR="002452C2" w:rsidRPr="002452C2" w:rsidRDefault="000B0DE7" w:rsidP="00595263">
            <w:pPr>
              <w:snapToGrid w:val="0"/>
              <w:rPr>
                <w:rFonts w:ascii="ＭＳ 明朝" w:eastAsia="ＭＳ 明朝" w:hAnsi="ＭＳ 明朝" w:cs="游明朝"/>
                <w:sz w:val="16"/>
                <w:szCs w:val="16"/>
              </w:rPr>
            </w:pPr>
            <w:r>
              <w:rPr>
                <w:rFonts w:ascii="Malgun Gothic" w:hAnsi="Malgun Gothic" w:cs="Malgun Gothic" w:hint="eastAsia"/>
                <w:sz w:val="16"/>
                <w:szCs w:val="16"/>
              </w:rPr>
              <w:t>・</w:t>
            </w:r>
            <w:r w:rsidR="002452C2" w:rsidRPr="000B0DE7">
              <w:rPr>
                <w:rFonts w:ascii="ＭＳ ゴシック" w:eastAsia="ＭＳ ゴシック" w:hAnsi="ＭＳ ゴシック" w:cs="ＭＳ 明朝" w:hint="eastAsia"/>
                <w:sz w:val="16"/>
                <w:szCs w:val="16"/>
              </w:rPr>
              <w:t>「実習」</w:t>
            </w:r>
            <w:r w:rsidR="002452C2" w:rsidRPr="002452C2">
              <w:rPr>
                <w:rFonts w:ascii="ＭＳ 明朝" w:eastAsia="ＭＳ 明朝" w:hAnsi="ＭＳ 明朝" w:cs="ＭＳ 明朝" w:hint="eastAsia"/>
                <w:sz w:val="16"/>
                <w:szCs w:val="16"/>
              </w:rPr>
              <w:t>ごとに</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事故防止の注意マークを目立つように付してある。</w:t>
            </w:r>
          </w:p>
          <w:p w14:paraId="41995536" w14:textId="477A12E6"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細胞の観察や</w:t>
            </w:r>
            <w:r w:rsidR="002452C2" w:rsidRPr="002452C2">
              <w:rPr>
                <w:rFonts w:ascii="ＭＳ 明朝" w:eastAsia="ＭＳ 明朝" w:hAnsi="ＭＳ 明朝" w:cs="游明朝"/>
                <w:sz w:val="16"/>
                <w:szCs w:val="16"/>
              </w:rPr>
              <w:t>DNAの抽出など</w:t>
            </w:r>
            <w:r w:rsidR="00595263">
              <w:rPr>
                <w:rFonts w:ascii="ＭＳ 明朝" w:eastAsia="ＭＳ 明朝" w:hAnsi="ＭＳ 明朝" w:cs="游明朝"/>
                <w:sz w:val="16"/>
                <w:szCs w:val="16"/>
              </w:rPr>
              <w:t>、</w:t>
            </w:r>
            <w:r w:rsidR="002452C2" w:rsidRPr="002452C2">
              <w:rPr>
                <w:rFonts w:ascii="ＭＳ 明朝" w:eastAsia="ＭＳ 明朝" w:hAnsi="ＭＳ 明朝" w:cs="游明朝"/>
                <w:sz w:val="16"/>
                <w:szCs w:val="16"/>
              </w:rPr>
              <w:t>基本的な技能が求められる実習には</w:t>
            </w:r>
            <w:r w:rsidR="00595263">
              <w:rPr>
                <w:rFonts w:ascii="ＭＳ 明朝" w:eastAsia="ＭＳ 明朝" w:hAnsi="ＭＳ 明朝" w:cs="游明朝"/>
                <w:sz w:val="16"/>
                <w:szCs w:val="16"/>
              </w:rPr>
              <w:t>、</w:t>
            </w:r>
            <w:r w:rsidR="002452C2" w:rsidRPr="000B0DE7">
              <w:rPr>
                <w:rFonts w:ascii="ＭＳ ゴシック" w:eastAsia="ＭＳ ゴシック" w:hAnsi="ＭＳ ゴシック" w:cs="游明朝"/>
                <w:sz w:val="16"/>
                <w:szCs w:val="16"/>
              </w:rPr>
              <w:t>二次元コードコンテ</w:t>
            </w:r>
            <w:r w:rsidR="002452C2" w:rsidRPr="000B0DE7">
              <w:rPr>
                <w:rFonts w:ascii="ＭＳ ゴシック" w:eastAsia="ＭＳ ゴシック" w:hAnsi="ＭＳ ゴシック" w:cs="游明朝" w:hint="eastAsia"/>
                <w:sz w:val="16"/>
                <w:szCs w:val="16"/>
              </w:rPr>
              <w:t>ンツ</w:t>
            </w:r>
            <w:r w:rsidR="002452C2" w:rsidRPr="002452C2">
              <w:rPr>
                <w:rFonts w:ascii="ＭＳ 明朝" w:eastAsia="ＭＳ 明朝" w:hAnsi="ＭＳ 明朝" w:cs="游明朝" w:hint="eastAsia"/>
                <w:sz w:val="16"/>
                <w:szCs w:val="16"/>
              </w:rPr>
              <w:t>で方法や結果が動画で視聴できる。</w:t>
            </w:r>
          </w:p>
          <w:p w14:paraId="3266D96D" w14:textId="77B80E8F" w:rsid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「生物基礎」の学習に関連する中学校の既習事項の内容や教科書の図版だけでは理解</w:t>
            </w:r>
            <w:r w:rsidR="002452C2" w:rsidRPr="002452C2">
              <w:rPr>
                <w:rFonts w:ascii="ＭＳ 明朝" w:eastAsia="ＭＳ 明朝" w:hAnsi="ＭＳ 明朝" w:cs="游明朝" w:hint="eastAsia"/>
                <w:sz w:val="16"/>
                <w:szCs w:val="16"/>
              </w:rPr>
              <w:t>しにくい内容について</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二次元コードコンテンツで情報を収集したり</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アニメーションなどで理解を深めたりすることができる。</w:t>
            </w:r>
          </w:p>
          <w:p w14:paraId="6D7F1CE0" w14:textId="77777777" w:rsidR="00595263" w:rsidRPr="00184D2C" w:rsidRDefault="00595263" w:rsidP="00595263">
            <w:pPr>
              <w:spacing w:line="0" w:lineRule="atLeast"/>
              <w:ind w:left="160" w:hangingChars="100" w:hanging="160"/>
              <w:rPr>
                <w:rFonts w:ascii="ＭＳ 明朝" w:eastAsia="ＭＳ 明朝" w:hAnsi="ＭＳ 明朝" w:cs="游明朝"/>
                <w:sz w:val="16"/>
                <w:szCs w:val="16"/>
              </w:rPr>
            </w:pPr>
            <w:r>
              <w:rPr>
                <w:rFonts w:ascii="ＭＳ 明朝" w:eastAsia="ＭＳ 明朝" w:hAnsi="ＭＳ 明朝" w:cs="游明朝" w:hint="eastAsia"/>
                <w:sz w:val="16"/>
                <w:szCs w:val="16"/>
              </w:rPr>
              <w:t>・学習内容を短い音声付きのアニメーションにまとめた</w:t>
            </w:r>
            <w:r w:rsidRPr="00DE5A26">
              <w:rPr>
                <w:rFonts w:ascii="ＭＳ ゴシック" w:eastAsia="ＭＳ ゴシック" w:hAnsi="ＭＳ ゴシック" w:cs="游明朝" w:hint="eastAsia"/>
                <w:sz w:val="16"/>
                <w:szCs w:val="16"/>
              </w:rPr>
              <w:t>「なるほど！10秒動画」</w:t>
            </w:r>
            <w:r>
              <w:rPr>
                <w:rFonts w:ascii="ＭＳ 明朝" w:eastAsia="ＭＳ 明朝" w:hAnsi="ＭＳ 明朝" w:cs="游明朝" w:hint="eastAsia"/>
                <w:sz w:val="16"/>
                <w:szCs w:val="16"/>
              </w:rPr>
              <w:t>を</w:t>
            </w:r>
            <w:r w:rsidRPr="00DE5A26">
              <w:rPr>
                <w:rFonts w:ascii="ＭＳ ゴシック" w:eastAsia="ＭＳ ゴシック" w:hAnsi="ＭＳ ゴシック" w:cs="游明朝" w:hint="eastAsia"/>
                <w:sz w:val="16"/>
                <w:szCs w:val="16"/>
              </w:rPr>
              <w:t>二次元コードコンテンツ</w:t>
            </w:r>
            <w:r>
              <w:rPr>
                <w:rFonts w:ascii="ＭＳ 明朝" w:eastAsia="ＭＳ 明朝" w:hAnsi="ＭＳ 明朝" w:cs="游明朝" w:hint="eastAsia"/>
                <w:sz w:val="16"/>
                <w:szCs w:val="16"/>
              </w:rPr>
              <w:t>として収載し、生徒が自学自習で繰り返し視聴できるようにしている。</w:t>
            </w:r>
          </w:p>
          <w:p w14:paraId="2EAFF826" w14:textId="4C9EA8D5"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本文の最後の</w:t>
            </w:r>
            <w:r w:rsidR="002452C2" w:rsidRPr="000B0DE7">
              <w:rPr>
                <w:rFonts w:ascii="ＭＳ ゴシック" w:eastAsia="ＭＳ ゴシック" w:hAnsi="ＭＳ ゴシック" w:cs="ＭＳ 明朝" w:hint="eastAsia"/>
                <w:sz w:val="16"/>
                <w:szCs w:val="16"/>
              </w:rPr>
              <w:t>「結章」</w:t>
            </w:r>
            <w:r w:rsidR="002452C2" w:rsidRPr="002452C2">
              <w:rPr>
                <w:rFonts w:ascii="ＭＳ 明朝" w:eastAsia="ＭＳ 明朝" w:hAnsi="ＭＳ 明朝" w:cs="ＭＳ 明朝" w:hint="eastAsia"/>
                <w:sz w:val="16"/>
                <w:szCs w:val="16"/>
              </w:rPr>
              <w:t>では</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「生物基礎」の学習内容を社会や日常生活で活かすための事例</w:t>
            </w:r>
            <w:r w:rsidR="002452C2" w:rsidRPr="002452C2">
              <w:rPr>
                <w:rFonts w:ascii="ＭＳ 明朝" w:eastAsia="ＭＳ 明朝" w:hAnsi="ＭＳ 明朝" w:cs="游明朝" w:hint="eastAsia"/>
                <w:sz w:val="16"/>
                <w:szCs w:val="16"/>
              </w:rPr>
              <w:t>が示されており</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活動としても活用できる。</w:t>
            </w:r>
          </w:p>
          <w:p w14:paraId="2FCFA392" w14:textId="1BC71834"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編末には</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学習内容に関係する職業に就かれている方のインタビュー</w:t>
            </w:r>
            <w:r w:rsidR="002452C2" w:rsidRPr="000B0DE7">
              <w:rPr>
                <w:rFonts w:ascii="ＭＳ ゴシック" w:eastAsia="ＭＳ ゴシック" w:hAnsi="ＭＳ ゴシック" w:cs="ＭＳ 明朝" w:hint="eastAsia"/>
                <w:sz w:val="16"/>
                <w:szCs w:val="16"/>
              </w:rPr>
              <w:t>「生物基礎×仕事」</w:t>
            </w:r>
            <w:r w:rsidR="002452C2" w:rsidRPr="002452C2">
              <w:rPr>
                <w:rFonts w:ascii="ＭＳ 明朝" w:eastAsia="ＭＳ 明朝" w:hAnsi="ＭＳ 明朝" w:cs="ＭＳ 明朝" w:hint="eastAsia"/>
                <w:sz w:val="16"/>
                <w:szCs w:val="16"/>
              </w:rPr>
              <w:t>や</w:t>
            </w:r>
            <w:r w:rsidR="002452C2" w:rsidRPr="002452C2">
              <w:rPr>
                <w:rFonts w:ascii="ＭＳ 明朝" w:eastAsia="ＭＳ 明朝" w:hAnsi="ＭＳ 明朝" w:cs="游明朝" w:hint="eastAsia"/>
                <w:sz w:val="16"/>
                <w:szCs w:val="16"/>
              </w:rPr>
              <w:t>関連する書籍の紹介</w:t>
            </w:r>
            <w:r w:rsidR="002452C2" w:rsidRPr="000B0DE7">
              <w:rPr>
                <w:rFonts w:ascii="ＭＳ ゴシック" w:eastAsia="ＭＳ ゴシック" w:hAnsi="ＭＳ ゴシック" w:cs="游明朝" w:hint="eastAsia"/>
                <w:sz w:val="16"/>
                <w:szCs w:val="16"/>
              </w:rPr>
              <w:t>「生物基礎の本棚」</w:t>
            </w:r>
            <w:r w:rsidR="002452C2" w:rsidRPr="002452C2">
              <w:rPr>
                <w:rFonts w:ascii="ＭＳ 明朝" w:eastAsia="ＭＳ 明朝" w:hAnsi="ＭＳ 明朝" w:cs="游明朝" w:hint="eastAsia"/>
                <w:sz w:val="16"/>
                <w:szCs w:val="16"/>
              </w:rPr>
              <w:t>が掲載されており</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深い学びにつなげるための工夫がされている。</w:t>
            </w:r>
          </w:p>
          <w:p w14:paraId="4BC2E2BE" w14:textId="320531E8"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0B0DE7">
              <w:rPr>
                <w:rFonts w:ascii="ＭＳ ゴシック" w:eastAsia="ＭＳ ゴシック" w:hAnsi="ＭＳ ゴシック" w:cs="游明朝"/>
                <w:sz w:val="16"/>
                <w:szCs w:val="16"/>
              </w:rPr>
              <w:t>SDGs</w:t>
            </w:r>
            <w:r w:rsidR="002452C2" w:rsidRPr="002452C2">
              <w:rPr>
                <w:rFonts w:ascii="ＭＳ 明朝" w:eastAsia="ＭＳ 明朝" w:hAnsi="ＭＳ 明朝" w:cs="游明朝"/>
                <w:sz w:val="16"/>
                <w:szCs w:val="16"/>
              </w:rPr>
              <w:t>についても取り上げられており</w:t>
            </w:r>
            <w:r w:rsidR="00595263">
              <w:rPr>
                <w:rFonts w:ascii="ＭＳ 明朝" w:eastAsia="ＭＳ 明朝" w:hAnsi="ＭＳ 明朝" w:cs="游明朝"/>
                <w:sz w:val="16"/>
                <w:szCs w:val="16"/>
              </w:rPr>
              <w:t>、</w:t>
            </w:r>
            <w:r w:rsidR="002452C2" w:rsidRPr="002452C2">
              <w:rPr>
                <w:rFonts w:ascii="ＭＳ 明朝" w:eastAsia="ＭＳ 明朝" w:hAnsi="ＭＳ 明朝" w:cs="游明朝"/>
                <w:sz w:val="16"/>
                <w:szCs w:val="16"/>
              </w:rPr>
              <w:t>学習内容と今日的な課題とのつながりを意識できる</w:t>
            </w:r>
            <w:r w:rsidR="002452C2" w:rsidRPr="002452C2">
              <w:rPr>
                <w:rFonts w:ascii="ＭＳ 明朝" w:eastAsia="ＭＳ 明朝" w:hAnsi="ＭＳ 明朝" w:cs="游明朝" w:hint="eastAsia"/>
                <w:sz w:val="16"/>
                <w:szCs w:val="16"/>
              </w:rPr>
              <w:t>内容になっている。</w:t>
            </w:r>
          </w:p>
          <w:p w14:paraId="0E81708A" w14:textId="77777777" w:rsidR="000B0DE7" w:rsidRDefault="000B0DE7" w:rsidP="00595263">
            <w:pPr>
              <w:snapToGrid w:val="0"/>
              <w:ind w:left="160" w:hangingChars="100" w:hanging="160"/>
              <w:rPr>
                <w:rFonts w:ascii="ＭＳ 明朝" w:eastAsia="ＭＳ 明朝" w:hAnsi="ＭＳ 明朝" w:cs="游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巻末の</w:t>
            </w:r>
            <w:r w:rsidR="002452C2" w:rsidRPr="000B0DE7">
              <w:rPr>
                <w:rFonts w:ascii="ＭＳ ゴシック" w:eastAsia="ＭＳ ゴシック" w:hAnsi="ＭＳ ゴシック" w:cs="ＭＳ 明朝" w:hint="eastAsia"/>
                <w:sz w:val="16"/>
                <w:szCs w:val="16"/>
              </w:rPr>
              <w:t>「生物基礎</w:t>
            </w:r>
            <w:r w:rsidR="002452C2" w:rsidRPr="000B0DE7">
              <w:rPr>
                <w:rFonts w:ascii="ＭＳ ゴシック" w:eastAsia="ＭＳ ゴシック" w:hAnsi="ＭＳ ゴシック" w:cs="游明朝"/>
                <w:sz w:val="16"/>
                <w:szCs w:val="16"/>
              </w:rPr>
              <w:t xml:space="preserve"> 重要用語一覧」</w:t>
            </w:r>
            <w:r w:rsidR="002452C2" w:rsidRPr="002452C2">
              <w:rPr>
                <w:rFonts w:ascii="ＭＳ 明朝" w:eastAsia="ＭＳ 明朝" w:hAnsi="ＭＳ 明朝" w:cs="游明朝"/>
                <w:sz w:val="16"/>
                <w:szCs w:val="16"/>
              </w:rPr>
              <w:t>で教科書の重要用語とその定義について確認できるよう</w:t>
            </w:r>
            <w:r w:rsidR="002452C2" w:rsidRPr="002452C2">
              <w:rPr>
                <w:rFonts w:ascii="ＭＳ 明朝" w:eastAsia="ＭＳ 明朝" w:hAnsi="ＭＳ 明朝" w:cs="游明朝" w:hint="eastAsia"/>
                <w:sz w:val="16"/>
                <w:szCs w:val="16"/>
              </w:rPr>
              <w:t>に工夫されている。</w:t>
            </w:r>
          </w:p>
          <w:p w14:paraId="16C7059F" w14:textId="1681AB47" w:rsidR="002452C2" w:rsidRPr="002452C2" w:rsidRDefault="000B0DE7" w:rsidP="00595263">
            <w:pPr>
              <w:snapToGrid w:val="0"/>
              <w:ind w:left="160" w:hangingChars="100" w:hanging="160"/>
              <w:rPr>
                <w:rFonts w:ascii="ＭＳ 明朝" w:eastAsia="ＭＳ 明朝" w:hAnsi="ＭＳ 明朝" w:cs="游明朝"/>
                <w:sz w:val="16"/>
                <w:szCs w:val="16"/>
              </w:rPr>
            </w:pPr>
            <w:r>
              <w:rPr>
                <w:rFonts w:ascii="ＭＳ 明朝" w:eastAsia="ＭＳ 明朝" w:hAnsi="ＭＳ 明朝" w:cs="游明朝" w:hint="eastAsia"/>
                <w:sz w:val="16"/>
                <w:szCs w:val="16"/>
              </w:rPr>
              <w:t>・</w:t>
            </w:r>
            <w:r w:rsidR="002452C2" w:rsidRPr="002452C2">
              <w:rPr>
                <w:rFonts w:ascii="ＭＳ 明朝" w:eastAsia="ＭＳ 明朝" w:hAnsi="ＭＳ 明朝" w:cs="游明朝"/>
                <w:sz w:val="16"/>
                <w:szCs w:val="16"/>
              </w:rPr>
              <w:t>B5判の大きい判型を活かして</w:t>
            </w:r>
            <w:r w:rsidR="00595263">
              <w:rPr>
                <w:rFonts w:ascii="ＭＳ 明朝" w:eastAsia="ＭＳ 明朝" w:hAnsi="ＭＳ 明朝" w:cs="游明朝"/>
                <w:sz w:val="16"/>
                <w:szCs w:val="16"/>
              </w:rPr>
              <w:t>、</w:t>
            </w:r>
            <w:r w:rsidR="002452C2" w:rsidRPr="002452C2">
              <w:rPr>
                <w:rFonts w:ascii="ＭＳ 明朝" w:eastAsia="ＭＳ 明朝" w:hAnsi="ＭＳ 明朝" w:cs="游明朝"/>
                <w:sz w:val="16"/>
                <w:szCs w:val="16"/>
              </w:rPr>
              <w:t>カラーの図や写真が必要な箇所にふんだんに盛り込まれて</w:t>
            </w:r>
            <w:r w:rsidR="002452C2" w:rsidRPr="002452C2">
              <w:rPr>
                <w:rFonts w:ascii="ＭＳ 明朝" w:eastAsia="ＭＳ 明朝" w:hAnsi="ＭＳ 明朝" w:cs="游明朝" w:hint="eastAsia"/>
                <w:sz w:val="16"/>
                <w:szCs w:val="16"/>
              </w:rPr>
              <w:t>いる。レイアウトも</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写真と図を並べて示すなど</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hint="eastAsia"/>
                <w:sz w:val="16"/>
                <w:szCs w:val="16"/>
              </w:rPr>
              <w:t>見やすく工夫されている。</w:t>
            </w:r>
          </w:p>
          <w:p w14:paraId="6C2F7409" w14:textId="78A5B88F" w:rsidR="00DF443F" w:rsidRPr="0072692C" w:rsidRDefault="000B0DE7" w:rsidP="00595263">
            <w:pPr>
              <w:snapToGrid w:val="0"/>
              <w:ind w:left="160" w:hangingChars="100" w:hanging="160"/>
              <w:rPr>
                <w:rFonts w:ascii="ＭＳ 明朝" w:eastAsia="ＭＳ 明朝" w:hAnsi="ＭＳ 明朝" w:cs="游明朝" w:hint="eastAsia"/>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指導資料は</w:t>
            </w:r>
            <w:r w:rsidR="002452C2" w:rsidRPr="000B0DE7">
              <w:rPr>
                <w:rFonts w:ascii="ＭＳ ゴシック" w:eastAsia="ＭＳ ゴシック" w:hAnsi="ＭＳ ゴシック" w:cs="ＭＳ 明朝" w:hint="eastAsia"/>
                <w:sz w:val="16"/>
                <w:szCs w:val="16"/>
              </w:rPr>
              <w:t>「授業プリント」</w:t>
            </w:r>
            <w:r w:rsidR="002452C2" w:rsidRPr="002452C2">
              <w:rPr>
                <w:rFonts w:ascii="ＭＳ 明朝" w:eastAsia="ＭＳ 明朝" w:hAnsi="ＭＳ 明朝" w:cs="ＭＳ 明朝" w:hint="eastAsia"/>
                <w:sz w:val="16"/>
                <w:szCs w:val="16"/>
              </w:rPr>
              <w:t>や</w:t>
            </w:r>
            <w:r w:rsidR="002452C2" w:rsidRPr="000B0DE7">
              <w:rPr>
                <w:rFonts w:ascii="ＭＳ ゴシック" w:eastAsia="ＭＳ ゴシック" w:hAnsi="ＭＳ ゴシック" w:cs="ＭＳ 明朝" w:hint="eastAsia"/>
                <w:sz w:val="16"/>
                <w:szCs w:val="16"/>
              </w:rPr>
              <w:t>「デジタル板書」</w:t>
            </w:r>
            <w:r w:rsidR="002452C2" w:rsidRPr="002452C2">
              <w:rPr>
                <w:rFonts w:ascii="ＭＳ 明朝" w:eastAsia="ＭＳ 明朝" w:hAnsi="ＭＳ 明朝" w:cs="ＭＳ 明朝" w:hint="eastAsia"/>
                <w:sz w:val="16"/>
                <w:szCs w:val="16"/>
              </w:rPr>
              <w:t>などのデ</w:t>
            </w:r>
            <w:r w:rsidR="002452C2" w:rsidRPr="002452C2">
              <w:rPr>
                <w:rFonts w:ascii="ＭＳ 明朝" w:eastAsia="ＭＳ 明朝" w:hAnsi="ＭＳ 明朝" w:cs="游明朝" w:hint="eastAsia"/>
                <w:sz w:val="16"/>
                <w:szCs w:val="16"/>
              </w:rPr>
              <w:t>ジタル教材が充実しており</w:t>
            </w:r>
            <w:r w:rsidR="00595263">
              <w:rPr>
                <w:rFonts w:ascii="ＭＳ 明朝" w:eastAsia="ＭＳ 明朝" w:hAnsi="ＭＳ 明朝" w:cs="游明朝" w:hint="eastAsia"/>
                <w:sz w:val="16"/>
                <w:szCs w:val="16"/>
              </w:rPr>
              <w:t>、</w:t>
            </w:r>
            <w:r w:rsidR="002452C2" w:rsidRPr="002452C2">
              <w:rPr>
                <w:rFonts w:ascii="ＭＳ 明朝" w:eastAsia="ＭＳ 明朝" w:hAnsi="ＭＳ 明朝" w:cs="游明朝"/>
                <w:sz w:val="16"/>
                <w:szCs w:val="16"/>
              </w:rPr>
              <w:t>ICT</w:t>
            </w:r>
            <w:r w:rsidR="002452C2" w:rsidRPr="002452C2">
              <w:rPr>
                <w:rFonts w:ascii="ＭＳ 明朝" w:eastAsia="ＭＳ 明朝" w:hAnsi="ＭＳ 明朝" w:cs="游明朝" w:hint="eastAsia"/>
                <w:sz w:val="16"/>
                <w:szCs w:val="16"/>
              </w:rPr>
              <w:t>を活用した授業にも対応している。</w:t>
            </w:r>
          </w:p>
        </w:tc>
      </w:tr>
      <w:tr w:rsidR="000B06D6" w:rsidRPr="000B06D6" w14:paraId="2A179626" w14:textId="77777777" w:rsidTr="00595263">
        <w:trPr>
          <w:cantSplit/>
          <w:trHeight w:val="1975"/>
        </w:trPr>
        <w:tc>
          <w:tcPr>
            <w:tcW w:w="704" w:type="dxa"/>
            <w:textDirection w:val="tbRlV"/>
            <w:vAlign w:val="center"/>
          </w:tcPr>
          <w:p w14:paraId="11B45348" w14:textId="77777777" w:rsidR="000B06D6" w:rsidRPr="009A0D71" w:rsidRDefault="000B06D6" w:rsidP="00446709">
            <w:pPr>
              <w:adjustRightInd w:val="0"/>
              <w:snapToGrid w:val="0"/>
              <w:spacing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lastRenderedPageBreak/>
              <w:t>印刷・造本上 の配慮</w:t>
            </w:r>
          </w:p>
        </w:tc>
        <w:tc>
          <w:tcPr>
            <w:tcW w:w="2268" w:type="dxa"/>
          </w:tcPr>
          <w:p w14:paraId="66FD4B28" w14:textId="551C7783" w:rsidR="002452C2" w:rsidRPr="002452C2" w:rsidRDefault="00857C0D" w:rsidP="00595263">
            <w:pPr>
              <w:spacing w:line="0" w:lineRule="atLeast"/>
              <w:ind w:leftChars="-1" w:left="160" w:hangingChars="101" w:hanging="162"/>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印刷の鮮明さ</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活字の大きさ</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行間</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hint="eastAsia"/>
                <w:sz w:val="16"/>
                <w:szCs w:val="16"/>
              </w:rPr>
              <w:t>製本などは適切か。</w:t>
            </w:r>
          </w:p>
          <w:p w14:paraId="10D4D715" w14:textId="4021BB13" w:rsidR="000B06D6" w:rsidRPr="009A0D71" w:rsidRDefault="00857C0D" w:rsidP="00595263">
            <w:pPr>
              <w:spacing w:line="0" w:lineRule="atLeast"/>
              <w:ind w:leftChars="-1" w:left="160" w:hangingChars="101" w:hanging="162"/>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環境保全や生徒の多様な特</w:t>
            </w:r>
            <w:r w:rsidR="002452C2" w:rsidRPr="002452C2">
              <w:rPr>
                <w:rFonts w:ascii="ＭＳ 明朝" w:eastAsia="ＭＳ 明朝" w:hAnsi="ＭＳ 明朝" w:hint="eastAsia"/>
                <w:sz w:val="16"/>
                <w:szCs w:val="16"/>
              </w:rPr>
              <w:t>性に対して配慮しているか。</w:t>
            </w:r>
          </w:p>
        </w:tc>
        <w:tc>
          <w:tcPr>
            <w:tcW w:w="6804" w:type="dxa"/>
          </w:tcPr>
          <w:p w14:paraId="504BF228" w14:textId="5EA37175" w:rsidR="002452C2" w:rsidRPr="002452C2" w:rsidRDefault="000B0DE7" w:rsidP="00051C9E">
            <w:pPr>
              <w:snapToGrid w:val="0"/>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製本は針金を使用せず接着剤で製本してあり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金属を使用しないことによるリサイクル性を</w:t>
            </w:r>
            <w:r w:rsidR="002452C2" w:rsidRPr="002452C2">
              <w:rPr>
                <w:rFonts w:ascii="ＭＳ 明朝" w:eastAsia="ＭＳ 明朝" w:hAnsi="ＭＳ 明朝" w:hint="eastAsia"/>
                <w:sz w:val="16"/>
                <w:szCs w:val="16"/>
              </w:rPr>
              <w:t>重視している。</w:t>
            </w:r>
          </w:p>
          <w:p w14:paraId="0C95C4D9" w14:textId="41C9199D" w:rsidR="002452C2" w:rsidRPr="002452C2" w:rsidRDefault="000B0DE7" w:rsidP="00051C9E">
            <w:pPr>
              <w:snapToGrid w:val="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用紙には再生紙を</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インキには</w:t>
            </w:r>
            <w:r w:rsidR="002452C2" w:rsidRPr="000B0DE7">
              <w:rPr>
                <w:rFonts w:ascii="ＭＳ ゴシック" w:eastAsia="ＭＳ ゴシック" w:hAnsi="ＭＳ ゴシック" w:cs="ＭＳ 明朝" w:hint="eastAsia"/>
                <w:sz w:val="16"/>
                <w:szCs w:val="16"/>
              </w:rPr>
              <w:t>植物油インキ</w:t>
            </w:r>
            <w:r w:rsidR="002452C2" w:rsidRPr="002452C2">
              <w:rPr>
                <w:rFonts w:ascii="ＭＳ 明朝" w:eastAsia="ＭＳ 明朝" w:hAnsi="ＭＳ 明朝" w:cs="ＭＳ 明朝" w:hint="eastAsia"/>
                <w:sz w:val="16"/>
                <w:szCs w:val="16"/>
              </w:rPr>
              <w:t>を使用している。</w:t>
            </w:r>
          </w:p>
          <w:p w14:paraId="68AD63EA" w14:textId="34B5A48E" w:rsidR="002452C2" w:rsidRPr="002452C2" w:rsidRDefault="000B0DE7" w:rsidP="00051C9E">
            <w:pPr>
              <w:snapToGrid w:val="0"/>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レイアウト</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色づかいなど</w:t>
            </w:r>
            <w:r w:rsidR="00595263">
              <w:rPr>
                <w:rFonts w:ascii="ＭＳ 明朝" w:eastAsia="ＭＳ 明朝" w:hAnsi="ＭＳ 明朝" w:cs="ＭＳ 明朝" w:hint="eastAsia"/>
                <w:sz w:val="16"/>
                <w:szCs w:val="16"/>
              </w:rPr>
              <w:t>、</w:t>
            </w:r>
            <w:r w:rsidR="002452C2" w:rsidRPr="000B0DE7">
              <w:rPr>
                <w:rFonts w:ascii="ＭＳ ゴシック" w:eastAsia="ＭＳ ゴシック" w:hAnsi="ＭＳ ゴシック" w:cs="ＭＳ 明朝" w:hint="eastAsia"/>
                <w:sz w:val="16"/>
                <w:szCs w:val="16"/>
              </w:rPr>
              <w:t>ユニバーサルデザイン</w:t>
            </w:r>
            <w:r w:rsidR="002452C2" w:rsidRPr="002452C2">
              <w:rPr>
                <w:rFonts w:ascii="ＭＳ 明朝" w:eastAsia="ＭＳ 明朝" w:hAnsi="ＭＳ 明朝" w:cs="ＭＳ 明朝" w:hint="eastAsia"/>
                <w:sz w:val="16"/>
                <w:szCs w:val="16"/>
              </w:rPr>
              <w:t>に配慮されている。また</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見やすく読み</w:t>
            </w:r>
            <w:r w:rsidR="002452C2" w:rsidRPr="002452C2">
              <w:rPr>
                <w:rFonts w:ascii="ＭＳ 明朝" w:eastAsia="ＭＳ 明朝" w:hAnsi="ＭＳ 明朝" w:hint="eastAsia"/>
                <w:sz w:val="16"/>
                <w:szCs w:val="16"/>
              </w:rPr>
              <w:t>間違えにくい</w:t>
            </w:r>
            <w:r w:rsidR="002452C2" w:rsidRPr="000B0DE7">
              <w:rPr>
                <w:rFonts w:ascii="ＭＳ ゴシック" w:eastAsia="ＭＳ ゴシック" w:hAnsi="ＭＳ ゴシック" w:hint="eastAsia"/>
                <w:sz w:val="16"/>
                <w:szCs w:val="16"/>
              </w:rPr>
              <w:t>ユニバーサルデザインフォント</w:t>
            </w:r>
            <w:r w:rsidR="002452C2" w:rsidRPr="002452C2">
              <w:rPr>
                <w:rFonts w:ascii="ＭＳ 明朝" w:eastAsia="ＭＳ 明朝" w:hAnsi="ＭＳ 明朝" w:hint="eastAsia"/>
                <w:sz w:val="16"/>
                <w:szCs w:val="16"/>
              </w:rPr>
              <w:t>が採用されている。</w:t>
            </w:r>
          </w:p>
          <w:p w14:paraId="5EDEF2DB" w14:textId="5DDEE201" w:rsidR="000B06D6" w:rsidRPr="009A0D71" w:rsidRDefault="000B0DE7" w:rsidP="00051C9E">
            <w:pPr>
              <w:snapToGrid w:val="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本の中心ま</w:t>
            </w:r>
            <w:r w:rsidR="002452C2" w:rsidRPr="002452C2">
              <w:rPr>
                <w:rFonts w:ascii="ＭＳ 明朝" w:eastAsia="ＭＳ 明朝" w:hAnsi="ＭＳ 明朝" w:hint="eastAsia"/>
                <w:sz w:val="16"/>
                <w:szCs w:val="16"/>
              </w:rPr>
              <w:t>でページを開くことができる製本のため</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生徒が使いやすくなっている。</w:t>
            </w:r>
          </w:p>
        </w:tc>
      </w:tr>
      <w:tr w:rsidR="000B06D6" w:rsidRPr="000B06D6" w14:paraId="6C3AC97F" w14:textId="77777777" w:rsidTr="00595263">
        <w:trPr>
          <w:cantSplit/>
          <w:trHeight w:val="1548"/>
        </w:trPr>
        <w:tc>
          <w:tcPr>
            <w:tcW w:w="704" w:type="dxa"/>
            <w:textDirection w:val="tbRlV"/>
            <w:vAlign w:val="center"/>
          </w:tcPr>
          <w:p w14:paraId="65E7FA6E" w14:textId="77777777" w:rsidR="000B06D6" w:rsidRPr="009A0D71" w:rsidRDefault="000B06D6" w:rsidP="00446709">
            <w:pPr>
              <w:adjustRightInd w:val="0"/>
              <w:snapToGrid w:val="0"/>
              <w:spacing w:line="0" w:lineRule="atLeast"/>
              <w:ind w:left="113" w:right="113"/>
              <w:jc w:val="center"/>
              <w:rPr>
                <w:rFonts w:ascii="ＭＳ ゴシック" w:eastAsia="ＭＳ ゴシック" w:hAnsi="ＭＳ ゴシック"/>
                <w:sz w:val="18"/>
                <w:szCs w:val="18"/>
              </w:rPr>
            </w:pPr>
            <w:r w:rsidRPr="009A0D71">
              <w:rPr>
                <w:rFonts w:ascii="ＭＳ ゴシック" w:eastAsia="ＭＳ ゴシック" w:hAnsi="ＭＳ ゴシック"/>
                <w:sz w:val="18"/>
                <w:szCs w:val="18"/>
              </w:rPr>
              <w:t>総合所見</w:t>
            </w:r>
          </w:p>
        </w:tc>
        <w:tc>
          <w:tcPr>
            <w:tcW w:w="2268" w:type="dxa"/>
          </w:tcPr>
          <w:p w14:paraId="2167F89F" w14:textId="6912A39D" w:rsidR="009A0D71" w:rsidRPr="009A0D71" w:rsidRDefault="00857C0D" w:rsidP="00595263">
            <w:pPr>
              <w:spacing w:line="0" w:lineRule="atLeast"/>
              <w:ind w:left="131" w:hangingChars="82" w:hanging="131"/>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上記観点からみた</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全体的・総合的な</w:t>
            </w:r>
            <w:r w:rsidR="002452C2" w:rsidRPr="002452C2">
              <w:rPr>
                <w:rFonts w:ascii="ＭＳ 明朝" w:eastAsia="ＭＳ 明朝" w:hAnsi="ＭＳ 明朝" w:hint="eastAsia"/>
                <w:sz w:val="16"/>
                <w:szCs w:val="16"/>
              </w:rPr>
              <w:t>当教科書の特徴</w:t>
            </w:r>
          </w:p>
        </w:tc>
        <w:tc>
          <w:tcPr>
            <w:tcW w:w="6804" w:type="dxa"/>
          </w:tcPr>
          <w:p w14:paraId="2CB9BAAA" w14:textId="15B54872" w:rsidR="000B06D6" w:rsidRPr="009A0D71" w:rsidRDefault="000B0DE7" w:rsidP="00051C9E">
            <w:pPr>
              <w:snapToGrid w:val="0"/>
              <w:ind w:left="160" w:hangingChars="100" w:hanging="160"/>
              <w:rPr>
                <w:rFonts w:ascii="ＭＳ 明朝" w:eastAsia="ＭＳ 明朝" w:hAnsi="ＭＳ 明朝"/>
                <w:sz w:val="16"/>
                <w:szCs w:val="16"/>
              </w:rPr>
            </w:pPr>
            <w:r>
              <w:rPr>
                <w:rFonts w:ascii="Malgun Gothic" w:hAnsi="Malgun Gothic" w:cs="Malgun Gothic" w:hint="eastAsia"/>
                <w:sz w:val="16"/>
                <w:szCs w:val="16"/>
              </w:rPr>
              <w:t>・</w:t>
            </w:r>
            <w:r w:rsidR="002452C2" w:rsidRPr="002452C2">
              <w:rPr>
                <w:rFonts w:ascii="ＭＳ 明朝" w:eastAsia="ＭＳ 明朝" w:hAnsi="ＭＳ 明朝" w:cs="ＭＳ 明朝" w:hint="eastAsia"/>
                <w:sz w:val="16"/>
                <w:szCs w:val="16"/>
              </w:rPr>
              <w:t>見開き構成で</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思考の過程に沿った本文構成になっており</w:t>
            </w:r>
            <w:r w:rsidR="00595263">
              <w:rPr>
                <w:rFonts w:ascii="ＭＳ 明朝" w:eastAsia="ＭＳ 明朝" w:hAnsi="ＭＳ 明朝" w:cs="ＭＳ 明朝" w:hint="eastAsia"/>
                <w:sz w:val="16"/>
                <w:szCs w:val="16"/>
              </w:rPr>
              <w:t>、</w:t>
            </w:r>
            <w:r w:rsidR="002452C2" w:rsidRPr="002452C2">
              <w:rPr>
                <w:rFonts w:ascii="ＭＳ 明朝" w:eastAsia="ＭＳ 明朝" w:hAnsi="ＭＳ 明朝" w:cs="ＭＳ 明朝" w:hint="eastAsia"/>
                <w:sz w:val="16"/>
                <w:szCs w:val="16"/>
              </w:rPr>
              <w:t>授業がしやすい教科書である。</w:t>
            </w:r>
            <w:r w:rsidR="002452C2" w:rsidRPr="002452C2">
              <w:rPr>
                <w:rFonts w:ascii="ＭＳ 明朝" w:eastAsia="ＭＳ 明朝" w:hAnsi="ＭＳ 明朝" w:hint="eastAsia"/>
                <w:sz w:val="16"/>
                <w:szCs w:val="16"/>
              </w:rPr>
              <w:t>図や写真の質が高い。本文は</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基礎基本に徹底しており</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必要な箇所に「コラム」や「発展」を設けていて</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授業の幅が広がると考えられる。また</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巻末の「チャレンジ問題」は大学入学共通テストにも対応しており</w:t>
            </w:r>
            <w:r w:rsidR="00595263">
              <w:rPr>
                <w:rFonts w:ascii="ＭＳ 明朝" w:eastAsia="ＭＳ 明朝" w:hAnsi="ＭＳ 明朝" w:hint="eastAsia"/>
                <w:sz w:val="16"/>
                <w:szCs w:val="16"/>
              </w:rPr>
              <w:t>、</w:t>
            </w:r>
            <w:r w:rsidR="002452C2" w:rsidRPr="002452C2">
              <w:rPr>
                <w:rFonts w:ascii="ＭＳ 明朝" w:eastAsia="ＭＳ 明朝" w:hAnsi="ＭＳ 明朝" w:hint="eastAsia"/>
                <w:sz w:val="16"/>
                <w:szCs w:val="16"/>
              </w:rPr>
              <w:t>この教科書で学習した生徒の学力の向上を図ろうとする編集方針が窺うことができる。全体的に完成度の高い教科書である。</w:t>
            </w:r>
          </w:p>
        </w:tc>
      </w:tr>
    </w:tbl>
    <w:p w14:paraId="265100C1" w14:textId="77777777"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2D6F" w14:textId="77777777" w:rsidR="00B86647" w:rsidRDefault="00B86647" w:rsidP="00446709">
      <w:r>
        <w:separator/>
      </w:r>
    </w:p>
  </w:endnote>
  <w:endnote w:type="continuationSeparator" w:id="0">
    <w:p w14:paraId="20F7C678" w14:textId="77777777" w:rsidR="00B86647" w:rsidRDefault="00B86647" w:rsidP="0044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E4F5" w14:textId="77777777" w:rsidR="00B86647" w:rsidRDefault="00B86647" w:rsidP="00446709">
      <w:r>
        <w:separator/>
      </w:r>
    </w:p>
  </w:footnote>
  <w:footnote w:type="continuationSeparator" w:id="0">
    <w:p w14:paraId="606CE5B1" w14:textId="77777777" w:rsidR="00B86647" w:rsidRDefault="00B86647" w:rsidP="00446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D6"/>
    <w:rsid w:val="00051C9E"/>
    <w:rsid w:val="00072565"/>
    <w:rsid w:val="000B06D6"/>
    <w:rsid w:val="000B0DE7"/>
    <w:rsid w:val="000C009A"/>
    <w:rsid w:val="001105BA"/>
    <w:rsid w:val="00184D2C"/>
    <w:rsid w:val="00196B01"/>
    <w:rsid w:val="002452C2"/>
    <w:rsid w:val="00265171"/>
    <w:rsid w:val="0032418F"/>
    <w:rsid w:val="00446709"/>
    <w:rsid w:val="0051100E"/>
    <w:rsid w:val="0059158E"/>
    <w:rsid w:val="00595263"/>
    <w:rsid w:val="00627CF4"/>
    <w:rsid w:val="006B3156"/>
    <w:rsid w:val="0072692C"/>
    <w:rsid w:val="007E5B5B"/>
    <w:rsid w:val="00857C0D"/>
    <w:rsid w:val="009A0D71"/>
    <w:rsid w:val="00B7281E"/>
    <w:rsid w:val="00B81105"/>
    <w:rsid w:val="00B86647"/>
    <w:rsid w:val="00DF443F"/>
    <w:rsid w:val="00E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3C1A2"/>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709"/>
    <w:pPr>
      <w:tabs>
        <w:tab w:val="center" w:pos="4252"/>
        <w:tab w:val="right" w:pos="8504"/>
      </w:tabs>
      <w:snapToGrid w:val="0"/>
    </w:pPr>
  </w:style>
  <w:style w:type="character" w:customStyle="1" w:styleId="a5">
    <w:name w:val="ヘッダー (文字)"/>
    <w:basedOn w:val="a0"/>
    <w:link w:val="a4"/>
    <w:uiPriority w:val="99"/>
    <w:rsid w:val="00446709"/>
  </w:style>
  <w:style w:type="paragraph" w:styleId="a6">
    <w:name w:val="footer"/>
    <w:basedOn w:val="a"/>
    <w:link w:val="a7"/>
    <w:uiPriority w:val="99"/>
    <w:unhideWhenUsed/>
    <w:rsid w:val="00446709"/>
    <w:pPr>
      <w:tabs>
        <w:tab w:val="center" w:pos="4252"/>
        <w:tab w:val="right" w:pos="8504"/>
      </w:tabs>
      <w:snapToGrid w:val="0"/>
    </w:pPr>
  </w:style>
  <w:style w:type="character" w:customStyle="1" w:styleId="a7">
    <w:name w:val="フッター (文字)"/>
    <w:basedOn w:val="a0"/>
    <w:link w:val="a6"/>
    <w:uiPriority w:val="99"/>
    <w:rsid w:val="0044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450</Words>
  <Characters>2565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2021-04-15T00:46:00Z</dcterms:created>
  <dcterms:modified xsi:type="dcterms:W3CDTF">2025-03-11T02:11:00Z</dcterms:modified>
</cp:coreProperties>
</file>