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D292" w14:textId="07941C91"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令和4年度用内容解説資料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6A264C6E"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数学Ⅰ</w:t>
      </w:r>
      <w:r w:rsidR="007B2E68" w:rsidRPr="007B2E68">
        <w:rPr>
          <w:rFonts w:ascii="ＭＳ Ｐゴシック" w:eastAsia="ＭＳ Ｐゴシック" w:hAnsi="ＭＳ Ｐゴシック" w:hint="eastAsia"/>
          <w:sz w:val="20"/>
          <w:szCs w:val="20"/>
        </w:rPr>
        <w:t xml:space="preserve"> </w:t>
      </w:r>
      <w:r w:rsidRPr="007B2E68">
        <w:rPr>
          <w:rFonts w:ascii="ＭＳ Ｐゴシック" w:eastAsia="ＭＳ Ｐゴシック" w:hAnsi="ＭＳ Ｐゴシック"/>
          <w:sz w:val="20"/>
          <w:szCs w:val="20"/>
        </w:rPr>
        <w:t>Advanced</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2東書・数Ⅰ701，</w:t>
      </w:r>
      <w:r w:rsidR="00863C86">
        <w:rPr>
          <w:rFonts w:ascii="ＭＳ Ｐゴシック" w:eastAsia="ＭＳ Ｐゴシック" w:hAnsi="ＭＳ Ｐゴシック"/>
          <w:sz w:val="20"/>
          <w:szCs w:val="20"/>
        </w:rPr>
        <w:t>数学Ａ</w:t>
      </w:r>
      <w:r w:rsidR="007B2E68" w:rsidRPr="007B2E68">
        <w:rPr>
          <w:rFonts w:ascii="ＭＳ Ｐゴシック" w:eastAsia="ＭＳ Ｐゴシック" w:hAnsi="ＭＳ Ｐゴシック" w:hint="eastAsia"/>
          <w:sz w:val="20"/>
          <w:szCs w:val="20"/>
        </w:rPr>
        <w:t xml:space="preserve"> </w:t>
      </w:r>
      <w:r w:rsidRPr="007B2E68">
        <w:rPr>
          <w:rFonts w:ascii="ＭＳ Ｐゴシック" w:eastAsia="ＭＳ Ｐゴシック" w:hAnsi="ＭＳ Ｐゴシック"/>
          <w:sz w:val="20"/>
          <w:szCs w:val="20"/>
        </w:rPr>
        <w:t>Advanced</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2東書・数A701</w:t>
      </w:r>
      <w:r w:rsidR="007B2E68" w:rsidRPr="007B2E68">
        <w:rPr>
          <w:rFonts w:ascii="ＭＳ Ｐゴシック" w:eastAsia="ＭＳ Ｐゴシック" w:hAnsi="ＭＳ Ｐゴシック"/>
          <w:sz w:val="20"/>
          <w:szCs w:val="20"/>
        </w:rPr>
        <w:t>，数学</w:t>
      </w:r>
      <w:r w:rsidR="007B2E68" w:rsidRPr="007B2E68">
        <w:rPr>
          <w:rFonts w:ascii="ＭＳ Ｐゴシック" w:eastAsia="ＭＳ Ｐゴシック" w:hAnsi="ＭＳ Ｐゴシック" w:hint="eastAsia"/>
          <w:sz w:val="20"/>
          <w:szCs w:val="20"/>
        </w:rPr>
        <w:t xml:space="preserve">Ⅱ </w:t>
      </w:r>
      <w:r w:rsidR="007B2E68" w:rsidRPr="007B2E68">
        <w:rPr>
          <w:rFonts w:ascii="ＭＳ Ｐゴシック" w:eastAsia="ＭＳ Ｐゴシック" w:hAnsi="ＭＳ Ｐゴシック"/>
          <w:sz w:val="20"/>
          <w:szCs w:val="20"/>
        </w:rPr>
        <w:t>Advanced</w:t>
      </w:r>
      <w:r w:rsidR="007B2E68" w:rsidRPr="007B2E68">
        <w:rPr>
          <w:rFonts w:ascii="ＭＳ Ｐゴシック" w:eastAsia="ＭＳ Ｐゴシック" w:hAnsi="ＭＳ Ｐゴシック" w:hint="eastAsia"/>
          <w:sz w:val="20"/>
          <w:szCs w:val="20"/>
        </w:rPr>
        <w:t>/</w:t>
      </w:r>
      <w:r w:rsidR="007B2E68" w:rsidRPr="007B2E68">
        <w:rPr>
          <w:rFonts w:ascii="ＭＳ Ｐゴシック" w:eastAsia="ＭＳ Ｐゴシック" w:hAnsi="ＭＳ Ｐゴシック"/>
          <w:sz w:val="20"/>
          <w:szCs w:val="20"/>
        </w:rPr>
        <w:t>2東書・数</w:t>
      </w:r>
      <w:r w:rsidR="007B2E68" w:rsidRPr="007B2E68">
        <w:rPr>
          <w:rFonts w:ascii="ＭＳ Ｐゴシック" w:eastAsia="ＭＳ Ｐゴシック" w:hAnsi="ＭＳ Ｐゴシック" w:hint="eastAsia"/>
          <w:sz w:val="20"/>
          <w:szCs w:val="20"/>
        </w:rPr>
        <w:t>Ⅱ</w:t>
      </w:r>
      <w:r w:rsidR="007B2E68" w:rsidRPr="007B2E68">
        <w:rPr>
          <w:rFonts w:ascii="ＭＳ Ｐゴシック" w:eastAsia="ＭＳ Ｐゴシック" w:hAnsi="ＭＳ Ｐゴシック"/>
          <w:sz w:val="20"/>
          <w:szCs w:val="20"/>
        </w:rPr>
        <w:t>701</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3D33EB">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7D7FB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7D7FB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7D7FB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3D33EB"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0D10AFC9" w14:textId="6622F24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●基礎的・基本的な事項がコンパクトに網羅されている。また，丁寧な記述とスモールステップな問題配列で，スムーズに授業が展開できるように工夫して編集されている。</w:t>
            </w:r>
          </w:p>
          <w:p w14:paraId="543473F5" w14:textId="625680FD"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●数学Ⅰ「1章</w:t>
            </w:r>
            <w:r>
              <w:rPr>
                <w:rFonts w:ascii="ＭＳ 明朝" w:eastAsia="ＭＳ 明朝" w:hAnsi="ＭＳ 明朝" w:cs="Adobe Song Std L" w:hint="eastAsia"/>
                <w:szCs w:val="21"/>
              </w:rPr>
              <w:t xml:space="preserve">　</w:t>
            </w:r>
            <w:r w:rsidRPr="00DA0F64">
              <w:rPr>
                <w:rFonts w:ascii="ＭＳ 明朝" w:eastAsia="ＭＳ 明朝" w:hAnsi="ＭＳ 明朝" w:cs="Adobe Song Std L"/>
                <w:szCs w:val="21"/>
              </w:rPr>
              <w:t>数と式」では，多項式の積の順序を考えて式を展開する場面や，それぞれの文字に着目して式を因数分解する場面が設けられており，式を目的に応じて適切に変形する力を養うように工夫されている。（p.13,18,19）</w:t>
            </w:r>
          </w:p>
          <w:p w14:paraId="7B5151D8" w14:textId="2B9F565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●数学Ⅰ「3章</w:t>
            </w:r>
            <w:r>
              <w:rPr>
                <w:rFonts w:ascii="ＭＳ 明朝" w:eastAsia="ＭＳ 明朝" w:hAnsi="ＭＳ 明朝" w:cs="Adobe Song Std L" w:hint="eastAsia"/>
                <w:szCs w:val="21"/>
              </w:rPr>
              <w:t xml:space="preserve">　</w:t>
            </w:r>
            <w:r w:rsidRPr="00DA0F64">
              <w:rPr>
                <w:rFonts w:ascii="ＭＳ 明朝" w:eastAsia="ＭＳ 明朝" w:hAnsi="ＭＳ 明朝" w:cs="Adobe Song Std L"/>
                <w:szCs w:val="21"/>
              </w:rPr>
              <w:t>2次関数」では，定義域がある範囲に制限された2次関数の最大値や最小値を求める際に，定義域の両端と放物線の軸の位置の関係についての着眼点がまとめられており，内容の理解が深まるように工夫されている。（p.86～88）</w:t>
            </w:r>
          </w:p>
          <w:p w14:paraId="79BDD57C" w14:textId="1ABFCE5A"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●数学Ⅰ「4章</w:t>
            </w:r>
            <w:r>
              <w:rPr>
                <w:rFonts w:ascii="ＭＳ 明朝" w:eastAsia="ＭＳ 明朝" w:hAnsi="ＭＳ 明朝" w:cs="Adobe Song Std L" w:hint="eastAsia"/>
                <w:szCs w:val="21"/>
              </w:rPr>
              <w:t xml:space="preserve">　</w:t>
            </w:r>
            <w:r w:rsidRPr="00DA0F64">
              <w:rPr>
                <w:rFonts w:ascii="ＭＳ 明朝" w:eastAsia="ＭＳ 明朝" w:hAnsi="ＭＳ 明朝" w:cs="Adobe Song Std L"/>
                <w:szCs w:val="21"/>
              </w:rPr>
              <w:t>図形と計量」では，正弦定理や余弦定理の証明の考え方が，具体的な場面から一般的な証明へと展開されており，生徒が納得できるように工夫されている。（p.146～148,p.150～151）</w:t>
            </w:r>
          </w:p>
          <w:p w14:paraId="02B3E65E" w14:textId="22FDC75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w:t>
            </w:r>
            <w:r w:rsidR="00863C86">
              <w:rPr>
                <w:rFonts w:ascii="ＭＳ 明朝" w:eastAsia="ＭＳ 明朝" w:hAnsi="ＭＳ 明朝" w:cs="Adobe Song Std L"/>
                <w:szCs w:val="21"/>
              </w:rPr>
              <w:t>数学Ａ</w:t>
            </w:r>
            <w:r w:rsidRPr="00DA0F64">
              <w:rPr>
                <w:rFonts w:ascii="ＭＳ 明朝" w:eastAsia="ＭＳ 明朝" w:hAnsi="ＭＳ 明朝" w:cs="Adobe Song Std L"/>
                <w:szCs w:val="21"/>
              </w:rPr>
              <w:t>「1章</w:t>
            </w:r>
            <w:r>
              <w:rPr>
                <w:rFonts w:ascii="ＭＳ 明朝" w:eastAsia="ＭＳ 明朝" w:hAnsi="ＭＳ 明朝" w:cs="Adobe Song Std L" w:hint="eastAsia"/>
                <w:szCs w:val="21"/>
              </w:rPr>
              <w:t xml:space="preserve">　</w:t>
            </w:r>
            <w:r w:rsidRPr="00DA0F64">
              <w:rPr>
                <w:rFonts w:ascii="ＭＳ 明朝" w:eastAsia="ＭＳ 明朝" w:hAnsi="ＭＳ 明朝" w:cs="Adobe Song Std L"/>
                <w:szCs w:val="21"/>
              </w:rPr>
              <w:t>場合の数と確率」では，様々な場合の数を求める際に，既に学習した内容と対比する場面が設けられており，体系的な理解が得られるように工夫されている。（p.21,23,27,32）</w:t>
            </w:r>
          </w:p>
          <w:p w14:paraId="4A99626A" w14:textId="40F5555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w:t>
            </w:r>
            <w:r w:rsidR="00863C86">
              <w:rPr>
                <w:rFonts w:ascii="ＭＳ 明朝" w:eastAsia="ＭＳ 明朝" w:hAnsi="ＭＳ 明朝" w:cs="Adobe Song Std L"/>
                <w:szCs w:val="21"/>
              </w:rPr>
              <w:t>数学Ａ</w:t>
            </w:r>
            <w:r w:rsidRPr="00DA0F64">
              <w:rPr>
                <w:rFonts w:ascii="ＭＳ 明朝" w:eastAsia="ＭＳ 明朝" w:hAnsi="ＭＳ 明朝" w:cs="Adobe Song Std L"/>
                <w:szCs w:val="21"/>
              </w:rPr>
              <w:t>「2章</w:t>
            </w:r>
            <w:r>
              <w:rPr>
                <w:rFonts w:ascii="ＭＳ 明朝" w:eastAsia="ＭＳ 明朝" w:hAnsi="ＭＳ 明朝" w:cs="Adobe Song Std L" w:hint="eastAsia"/>
                <w:szCs w:val="21"/>
              </w:rPr>
              <w:t xml:space="preserve">　</w:t>
            </w:r>
            <w:r w:rsidRPr="00DA0F64">
              <w:rPr>
                <w:rFonts w:ascii="ＭＳ 明朝" w:eastAsia="ＭＳ 明朝" w:hAnsi="ＭＳ 明朝" w:cs="Adobe Song Std L"/>
                <w:szCs w:val="21"/>
              </w:rPr>
              <w:t>図形の性質」では，メネラウスの定理とチェバの定理の証明について，異なる場面でも同様に証明できることを確認する問が設けられており，図形の証明についての理解が深められ，さらに統合的・発展的な視点も身につけられるように工夫されている。（p.76～77）</w:t>
            </w:r>
          </w:p>
          <w:p w14:paraId="7961542C" w14:textId="1F0EAA3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課題学習として，学習内容を日常や社会の事象に活用させる内容（「活用」）や，学習内容を数学的に探究させる内容（「探究」）が多数取り上げられており，生徒の興味・関心を高める数学的活動を重視した課題が扱われている。</w:t>
            </w:r>
          </w:p>
          <w:p w14:paraId="25E720C2" w14:textId="10A3E6D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●「発展的な学習内容」は，関連する内容と同じ章に掲載されていて，生徒や学校の実態に応じて無理なく扱えるよう工夫されている。</w:t>
            </w:r>
          </w:p>
        </w:tc>
      </w:tr>
      <w:tr w:rsidR="003D33EB" w:rsidRPr="002C0F0A" w14:paraId="02D08B93" w14:textId="72477F84"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667564E8"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0ACF378" w14:textId="43C2315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359F97A6" w14:textId="15BB59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●学習指導要領に示された「内容」と「内容の取扱い」に準拠していて，生徒の実態に即し</w:t>
            </w:r>
            <w:r w:rsidRPr="00DA0F64">
              <w:rPr>
                <w:rFonts w:ascii="ＭＳ 明朝" w:eastAsia="ＭＳ 明朝" w:hAnsi="ＭＳ 明朝" w:cs="Adobe Song Std L"/>
                <w:color w:val="000000" w:themeColor="text1"/>
                <w:szCs w:val="21"/>
              </w:rPr>
              <w:t>た</w:t>
            </w:r>
            <w:r w:rsidRPr="00DA0F64">
              <w:rPr>
                <w:rFonts w:ascii="ＭＳ 明朝" w:eastAsia="ＭＳ 明朝" w:hAnsi="ＭＳ 明朝" w:cs="Adobe Song Std L"/>
                <w:szCs w:val="21"/>
              </w:rPr>
              <w:t>必要かつ十分な内容が適切に組織・配列されている。</w:t>
            </w:r>
          </w:p>
          <w:p w14:paraId="46899418" w14:textId="4F5BF2B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●例・例題→問→問題（節末）→練習問題（章末）の順に，段階を追って一定レベルの問題が過不足なく取り上げられており，その分量も適切である。</w:t>
            </w:r>
          </w:p>
          <w:p w14:paraId="27033FED" w14:textId="157C64F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●本文の問の末尾に問題（節末）と練習問題（章末）へのリンクマークが付され，追加問題が扱いやすくなるように工夫されている。</w:t>
            </w:r>
          </w:p>
          <w:p w14:paraId="42B82D75" w14:textId="603996C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●課題学習は，節末や章末に掲載されており，生徒や学校の実態に応じた指導ができるように配慮されている。</w:t>
            </w:r>
          </w:p>
          <w:p w14:paraId="2EB4AA7C" w14:textId="1C59CAE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●巻末には，「問題を解くときに働く見方・考え方」や「演習問題」が設けられており，進んだ生徒への配慮もされている。</w:t>
            </w:r>
          </w:p>
          <w:p w14:paraId="63FD2DBD" w14:textId="3BC9B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●巻末には，「中学校で学んだ基本事項」として，高校数学に関連する中学校の学習内容がコンパクトにまとめられている。</w:t>
            </w:r>
          </w:p>
        </w:tc>
      </w:tr>
      <w:tr w:rsidR="003D33EB"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3D33EB" w:rsidRDefault="003D33EB" w:rsidP="00DA0F64">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t>表記・表現及び指導に対する</w:t>
            </w:r>
          </w:p>
          <w:p w14:paraId="158726B3" w14:textId="156D81F6" w:rsidR="003D33EB" w:rsidRPr="002C0F0A" w:rsidRDefault="003D33EB" w:rsidP="00DA0F64">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03D0C82" w14:textId="588296E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●全編を通して本文の理解を助けるように，イラスト，写真，図が適切に用いられている。</w:t>
            </w:r>
          </w:p>
          <w:p w14:paraId="61159E08"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●必要に応じて色を使い，視覚的な内容理解ができるよう配慮されている。</w:t>
            </w:r>
          </w:p>
          <w:p w14:paraId="155C8BB3"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●用語・記号は統一されており，記述の仕方も適切である。</w:t>
            </w:r>
          </w:p>
          <w:p w14:paraId="1A680FFF" w14:textId="24E50AC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●ICT機器を利用すると効果的な箇所にDマークコンテンツが用意されており，生徒が柔軟に学習を進めることができるよう配慮されている。</w:t>
            </w:r>
          </w:p>
          <w:p w14:paraId="253A656E" w14:textId="01DAE70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●章の扉では，章の学習内容が，身近な題材や数学の歴史などと関連付けて紹介されており，生徒の学習意欲を高めるよう工夫されている。</w:t>
            </w:r>
          </w:p>
          <w:p w14:paraId="4C5204DA" w14:textId="45DDF1FA"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●教科書を支援する指導書や周辺教材などが充実しており，指導しやすい教科書である。</w:t>
            </w:r>
          </w:p>
        </w:tc>
      </w:tr>
      <w:tr w:rsidR="003D33EB" w:rsidRPr="002C0F0A" w14:paraId="7813244F" w14:textId="4606CFD1"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320D7BAD" w14:textId="775F5E0C"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A4E6055" w14:textId="6E98D6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15F73D69"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●活字はユニバーサルデザインで美しく，写真，挿し絵も鮮明で効果的である。</w:t>
            </w:r>
          </w:p>
          <w:p w14:paraId="48FBAC67"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●製本は堅牢で，開きやすい様式である。</w:t>
            </w:r>
          </w:p>
          <w:p w14:paraId="7A11BB4A" w14:textId="78AC7F9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●図やグラフの色使いなど，色覚特性への配慮を含むユニバーサルデザインとなっており，全ページにわたって配色を工夫するなど，だれもが見やすい紙面になっている。</w:t>
            </w:r>
          </w:p>
          <w:p w14:paraId="154AF7DA" w14:textId="213D9E8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●本文の用紙には再生紙と植物油インキを使用し，印刷業界団体が定めた環境配慮基準を満たす「グリーンプリンティング認定工場」で印刷するなど，地球環境や資源に及ぼす影響も考慮されている。</w:t>
            </w:r>
          </w:p>
        </w:tc>
      </w:tr>
      <w:tr w:rsidR="003D33EB"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156F78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1ED7D53B"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B4E5" w14:textId="77777777" w:rsidR="005617E3" w:rsidRDefault="005617E3" w:rsidP="00863C86">
      <w:r>
        <w:separator/>
      </w:r>
    </w:p>
  </w:endnote>
  <w:endnote w:type="continuationSeparator" w:id="0">
    <w:p w14:paraId="1DA4699D" w14:textId="77777777" w:rsidR="005617E3" w:rsidRDefault="005617E3" w:rsidP="008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20B0300000000000000"/>
    <w:charset w:val="80"/>
    <w:family w:val="swiss"/>
    <w:notTrueType/>
    <w:pitch w:val="variable"/>
    <w:sig w:usb0="A00002FF" w:usb1="68C7FEFF" w:usb2="00000012" w:usb3="00000000" w:csb0="00020005" w:csb1="00000000"/>
  </w:font>
  <w:font w:name="Adobe Song Std L">
    <w:altName w:val="Adobe Song Std L"/>
    <w:panose1 w:val="020203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C789" w14:textId="77777777" w:rsidR="005617E3" w:rsidRDefault="005617E3" w:rsidP="00863C86">
      <w:r>
        <w:separator/>
      </w:r>
    </w:p>
  </w:footnote>
  <w:footnote w:type="continuationSeparator" w:id="0">
    <w:p w14:paraId="62D5DAD4" w14:textId="77777777" w:rsidR="005617E3" w:rsidRDefault="005617E3" w:rsidP="0086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0A"/>
    <w:rsid w:val="002C0F0A"/>
    <w:rsid w:val="003D33EB"/>
    <w:rsid w:val="005617E3"/>
    <w:rsid w:val="007B2E68"/>
    <w:rsid w:val="00863C86"/>
    <w:rsid w:val="00D0453D"/>
    <w:rsid w:val="00DA0F64"/>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C86"/>
    <w:pPr>
      <w:tabs>
        <w:tab w:val="center" w:pos="4252"/>
        <w:tab w:val="right" w:pos="8504"/>
      </w:tabs>
      <w:snapToGrid w:val="0"/>
    </w:pPr>
  </w:style>
  <w:style w:type="character" w:customStyle="1" w:styleId="a4">
    <w:name w:val="ヘッダー (文字)"/>
    <w:basedOn w:val="a0"/>
    <w:link w:val="a3"/>
    <w:uiPriority w:val="99"/>
    <w:rsid w:val="00863C86"/>
  </w:style>
  <w:style w:type="paragraph" w:styleId="a5">
    <w:name w:val="footer"/>
    <w:basedOn w:val="a"/>
    <w:link w:val="a6"/>
    <w:uiPriority w:val="99"/>
    <w:unhideWhenUsed/>
    <w:rsid w:val="00863C86"/>
    <w:pPr>
      <w:tabs>
        <w:tab w:val="center" w:pos="4252"/>
        <w:tab w:val="right" w:pos="8504"/>
      </w:tabs>
      <w:snapToGrid w:val="0"/>
    </w:pPr>
  </w:style>
  <w:style w:type="character" w:customStyle="1" w:styleId="a6">
    <w:name w:val="フッター (文字)"/>
    <w:basedOn w:val="a0"/>
    <w:link w:val="a5"/>
    <w:uiPriority w:val="99"/>
    <w:rsid w:val="0086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提橋 正一</dc:creator>
  <cp:keywords/>
  <dc:description/>
  <cp:lastModifiedBy>提橋 正一</cp:lastModifiedBy>
  <cp:revision>4</cp:revision>
  <dcterms:created xsi:type="dcterms:W3CDTF">2021-04-30T15:02:00Z</dcterms:created>
  <dcterms:modified xsi:type="dcterms:W3CDTF">2021-04-30T16:17:00Z</dcterms:modified>
</cp:coreProperties>
</file>