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266020BD"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3D1E11">
        <w:rPr>
          <w:rFonts w:ascii="ＭＳ Ｐゴシック" w:eastAsia="ＭＳ Ｐゴシック" w:hAnsi="ＭＳ Ｐゴシック" w:hint="eastAsia"/>
          <w:sz w:val="18"/>
          <w:szCs w:val="18"/>
          <w:bdr w:val="single" w:sz="4" w:space="0" w:color="auto"/>
        </w:rPr>
        <w:t>5</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7F8AD407" w:rsidR="002C0F0A" w:rsidRPr="007B2E68" w:rsidRDefault="002C0F0A"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hint="eastAsia"/>
          <w:sz w:val="20"/>
          <w:szCs w:val="20"/>
        </w:rPr>
        <w:t>数学</w:t>
      </w:r>
      <w:r w:rsidR="00F64C1D">
        <w:rPr>
          <w:rFonts w:ascii="ＭＳ Ｐゴシック" w:eastAsia="ＭＳ Ｐゴシック" w:hAnsi="ＭＳ Ｐゴシック" w:hint="eastAsia"/>
          <w:sz w:val="20"/>
          <w:szCs w:val="20"/>
        </w:rPr>
        <w:t>Ⅲ</w:t>
      </w:r>
      <w:r w:rsidR="007B2E68" w:rsidRPr="007B2E68">
        <w:rPr>
          <w:rFonts w:ascii="ＭＳ Ｐゴシック" w:eastAsia="ＭＳ Ｐゴシック" w:hAnsi="ＭＳ Ｐゴシック" w:hint="eastAsia"/>
          <w:sz w:val="20"/>
          <w:szCs w:val="20"/>
        </w:rPr>
        <w:t xml:space="preserve"> </w:t>
      </w:r>
      <w:r w:rsidRPr="007B2E68">
        <w:rPr>
          <w:rFonts w:ascii="ＭＳ Ｐゴシック" w:eastAsia="ＭＳ Ｐゴシック" w:hAnsi="ＭＳ Ｐゴシック"/>
          <w:sz w:val="20"/>
          <w:szCs w:val="20"/>
        </w:rPr>
        <w:t>Advanced</w:t>
      </w:r>
      <w:r w:rsidR="007B2E68"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w:t>
      </w:r>
      <w:r w:rsidR="00F64C1D">
        <w:rPr>
          <w:rFonts w:ascii="ＭＳ Ｐゴシック" w:eastAsia="ＭＳ Ｐゴシック" w:hAnsi="ＭＳ Ｐゴシック" w:hint="eastAsia"/>
          <w:sz w:val="20"/>
          <w:szCs w:val="20"/>
        </w:rPr>
        <w:t>Ⅲ</w:t>
      </w:r>
      <w:r w:rsidRPr="007B2E68">
        <w:rPr>
          <w:rFonts w:ascii="ＭＳ Ｐゴシック" w:eastAsia="ＭＳ Ｐゴシック" w:hAnsi="ＭＳ Ｐゴシック"/>
          <w:sz w:val="20"/>
          <w:szCs w:val="20"/>
        </w:rPr>
        <w:t>701</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3D33EB">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7D7FB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7D7FB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7D7FB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3D33EB" w:rsidRPr="002C0F0A" w14:paraId="2EE08739" w14:textId="31805C25"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0D10AFC9" w14:textId="6622F24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●基礎的・基本的な事項がコンパクトに網羅されている。また，丁寧な記述とスモールステップな問題配列で，スムーズに授業が展開できるように工夫して編集されている。</w:t>
            </w:r>
          </w:p>
          <w:p w14:paraId="543473F5" w14:textId="2290FF9F" w:rsidR="003D33EB"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F64C1D">
              <w:rPr>
                <w:rFonts w:ascii="ＭＳ 明朝" w:eastAsia="ＭＳ 明朝" w:hAnsi="ＭＳ 明朝" w:cs="Adobe Song Std L" w:hint="eastAsia"/>
                <w:szCs w:val="21"/>
              </w:rPr>
              <w:t>Ⅲ</w:t>
            </w:r>
            <w:r w:rsidRPr="00DA0F64">
              <w:rPr>
                <w:rFonts w:ascii="ＭＳ 明朝" w:eastAsia="ＭＳ 明朝" w:hAnsi="ＭＳ 明朝" w:cs="Adobe Song Std L"/>
                <w:szCs w:val="21"/>
              </w:rPr>
              <w:t>「1章</w:t>
            </w:r>
            <w:r>
              <w:rPr>
                <w:rFonts w:ascii="ＭＳ 明朝" w:eastAsia="ＭＳ 明朝" w:hAnsi="ＭＳ 明朝" w:cs="Adobe Song Std L" w:hint="eastAsia"/>
                <w:szCs w:val="21"/>
              </w:rPr>
              <w:t xml:space="preserve">　</w:t>
            </w:r>
            <w:r w:rsidR="00F64C1D">
              <w:rPr>
                <w:rFonts w:ascii="ＭＳ 明朝" w:eastAsia="ＭＳ 明朝" w:hAnsi="ＭＳ 明朝" w:cs="Adobe Song Std L" w:hint="eastAsia"/>
                <w:szCs w:val="21"/>
              </w:rPr>
              <w:t>関数と極限</w:t>
            </w:r>
            <w:r w:rsidRPr="00DA0F64">
              <w:rPr>
                <w:rFonts w:ascii="ＭＳ 明朝" w:eastAsia="ＭＳ 明朝" w:hAnsi="ＭＳ 明朝" w:cs="Adobe Song Std L"/>
                <w:szCs w:val="21"/>
              </w:rPr>
              <w:t>」では，</w:t>
            </w:r>
            <w:r w:rsidR="00F64C1D" w:rsidRPr="00F64C1D">
              <w:rPr>
                <w:rFonts w:ascii="ＭＳ 明朝" w:eastAsia="ＭＳ 明朝" w:hAnsi="ＭＳ 明朝" w:cs="Adobe Song Std L" w:hint="eastAsia"/>
                <w:szCs w:val="21"/>
              </w:rPr>
              <w:t>数列の極限と四則について，数列</w:t>
            </w:r>
            <w:r w:rsidR="00F64C1D">
              <w:rPr>
                <w:rFonts w:ascii="ＭＳ 明朝" w:eastAsia="ＭＳ 明朝" w:hAnsi="ＭＳ 明朝" w:cs="Adobe Song Std L"/>
                <w:szCs w:val="21"/>
              </w:rPr>
              <w:t>{a</w:t>
            </w:r>
            <w:r w:rsidR="00F64C1D" w:rsidRPr="00F64C1D">
              <w:rPr>
                <w:rFonts w:ascii="ＭＳ 明朝" w:eastAsia="ＭＳ 明朝" w:hAnsi="ＭＳ 明朝" w:cs="Adobe Song Std L"/>
                <w:szCs w:val="21"/>
                <w:vertAlign w:val="subscript"/>
              </w:rPr>
              <w:t>n</w:t>
            </w:r>
            <w:r w:rsidR="00F64C1D">
              <w:rPr>
                <w:rFonts w:ascii="ＭＳ 明朝" w:eastAsia="ＭＳ 明朝" w:hAnsi="ＭＳ 明朝" w:cs="Adobe Song Std L"/>
                <w:szCs w:val="21"/>
              </w:rPr>
              <w:t>},{b</w:t>
            </w:r>
            <w:r w:rsidR="00F64C1D" w:rsidRPr="00F64C1D">
              <w:rPr>
                <w:rFonts w:ascii="ＭＳ 明朝" w:eastAsia="ＭＳ 明朝" w:hAnsi="ＭＳ 明朝" w:cs="Adobe Song Std L"/>
                <w:szCs w:val="21"/>
                <w:vertAlign w:val="subscript"/>
              </w:rPr>
              <w:t>n</w:t>
            </w:r>
            <w:r w:rsidR="00F64C1D" w:rsidRPr="00F64C1D">
              <w:rPr>
                <w:rFonts w:ascii="ＭＳ 明朝" w:eastAsia="ＭＳ 明朝" w:hAnsi="ＭＳ 明朝" w:cs="Adobe Song Std L"/>
                <w:szCs w:val="21"/>
              </w:rPr>
              <w:t>}</w:t>
            </w:r>
            <w:r w:rsidR="00F64C1D">
              <w:rPr>
                <w:rFonts w:ascii="ＭＳ 明朝" w:eastAsia="ＭＳ 明朝" w:hAnsi="ＭＳ 明朝" w:cs="Adobe Song Std L"/>
                <w:szCs w:val="21"/>
              </w:rPr>
              <w:t>が収束する場合や発散する場合に分けて取り扱</w:t>
            </w:r>
            <w:r w:rsidR="00F64C1D">
              <w:rPr>
                <w:rFonts w:ascii="ＭＳ 明朝" w:eastAsia="ＭＳ 明朝" w:hAnsi="ＭＳ 明朝" w:cs="Adobe Song Std L" w:hint="eastAsia"/>
                <w:szCs w:val="21"/>
              </w:rPr>
              <w:t>われており</w:t>
            </w:r>
            <w:r w:rsidR="00F64C1D" w:rsidRPr="00F64C1D">
              <w:rPr>
                <w:rFonts w:ascii="ＭＳ 明朝" w:eastAsia="ＭＳ 明朝" w:hAnsi="ＭＳ 明朝" w:cs="Adobe Song Std L"/>
                <w:szCs w:val="21"/>
              </w:rPr>
              <w:t>，式を多面的に捉えたり，目的に応じて適切に変形したりして，極限を求める方法を考察できるように工夫</w:t>
            </w:r>
            <w:r w:rsidR="00F64C1D">
              <w:rPr>
                <w:rFonts w:ascii="ＭＳ 明朝" w:eastAsia="ＭＳ 明朝" w:hAnsi="ＭＳ 明朝" w:cs="Adobe Song Std L" w:hint="eastAsia"/>
                <w:szCs w:val="21"/>
              </w:rPr>
              <w:t>されている</w:t>
            </w:r>
            <w:r w:rsidR="00F64C1D" w:rsidRPr="00F64C1D">
              <w:rPr>
                <w:rFonts w:ascii="ＭＳ 明朝" w:eastAsia="ＭＳ 明朝" w:hAnsi="ＭＳ 明朝" w:cs="Adobe Song Std L"/>
                <w:szCs w:val="21"/>
              </w:rPr>
              <w:t>。（</w:t>
            </w:r>
            <w:r w:rsidR="00F64C1D">
              <w:rPr>
                <w:rFonts w:ascii="ＭＳ 明朝" w:eastAsia="ＭＳ 明朝" w:hAnsi="ＭＳ 明朝" w:cs="Adobe Song Std L"/>
                <w:szCs w:val="21"/>
              </w:rPr>
              <w:t>p.24</w:t>
            </w:r>
            <w:r w:rsidR="00F64C1D">
              <w:rPr>
                <w:rFonts w:ascii="ＭＳ 明朝" w:eastAsia="ＭＳ 明朝" w:hAnsi="ＭＳ 明朝" w:cs="Adobe Song Std L" w:hint="eastAsia"/>
                <w:szCs w:val="21"/>
              </w:rPr>
              <w:t>～</w:t>
            </w:r>
            <w:r w:rsidR="00F64C1D" w:rsidRPr="00F64C1D">
              <w:rPr>
                <w:rFonts w:ascii="ＭＳ 明朝" w:eastAsia="ＭＳ 明朝" w:hAnsi="ＭＳ 明朝" w:cs="Adobe Song Std L"/>
                <w:szCs w:val="21"/>
              </w:rPr>
              <w:t>25）</w:t>
            </w:r>
          </w:p>
          <w:p w14:paraId="525AA099" w14:textId="55D5E6D4" w:rsidR="00F64C1D" w:rsidRDefault="00EA719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F64C1D">
              <w:rPr>
                <w:rFonts w:ascii="ＭＳ 明朝" w:eastAsia="ＭＳ 明朝" w:hAnsi="ＭＳ 明朝" w:cs="Adobe Song Std L" w:hint="eastAsia"/>
                <w:szCs w:val="21"/>
              </w:rPr>
              <w:t>Ⅲ</w:t>
            </w:r>
            <w:r w:rsidRPr="00DA0F64">
              <w:rPr>
                <w:rFonts w:ascii="ＭＳ 明朝" w:eastAsia="ＭＳ 明朝" w:hAnsi="ＭＳ 明朝" w:cs="Adobe Song Std L"/>
                <w:szCs w:val="21"/>
              </w:rPr>
              <w:t>「</w:t>
            </w:r>
            <w:r>
              <w:rPr>
                <w:rFonts w:ascii="ＭＳ 明朝" w:eastAsia="ＭＳ 明朝" w:hAnsi="ＭＳ 明朝" w:cs="Adobe Song Std L"/>
                <w:szCs w:val="21"/>
              </w:rPr>
              <w:t>2</w:t>
            </w:r>
            <w:r w:rsidRPr="00DA0F64">
              <w:rPr>
                <w:rFonts w:ascii="ＭＳ 明朝" w:eastAsia="ＭＳ 明朝" w:hAnsi="ＭＳ 明朝" w:cs="Adobe Song Std L"/>
                <w:szCs w:val="21"/>
              </w:rPr>
              <w:t>章</w:t>
            </w:r>
            <w:r w:rsidR="00F64C1D">
              <w:rPr>
                <w:rFonts w:ascii="ＭＳ 明朝" w:eastAsia="ＭＳ 明朝" w:hAnsi="ＭＳ 明朝" w:cs="Adobe Song Std L" w:hint="eastAsia"/>
                <w:szCs w:val="21"/>
              </w:rPr>
              <w:t xml:space="preserve">　微分</w:t>
            </w:r>
            <w:r w:rsidRPr="00DA0F64">
              <w:rPr>
                <w:rFonts w:ascii="ＭＳ 明朝" w:eastAsia="ＭＳ 明朝" w:hAnsi="ＭＳ 明朝" w:cs="Adobe Song Std L"/>
                <w:szCs w:val="21"/>
              </w:rPr>
              <w:t>」では，</w:t>
            </w:r>
            <w:r w:rsidR="00F64C1D">
              <w:rPr>
                <w:rFonts w:ascii="ＭＳ 明朝" w:eastAsia="ＭＳ 明朝" w:hAnsi="ＭＳ 明朝" w:cs="Adobe Song Std L" w:hint="eastAsia"/>
                <w:szCs w:val="21"/>
              </w:rPr>
              <w:t>数学Ⅱで学習した微分係数や導関数の定義，微分法の公式の</w:t>
            </w:r>
            <w:r w:rsidR="00F64C1D" w:rsidRPr="00F64C1D">
              <w:rPr>
                <w:rFonts w:ascii="ＭＳ 明朝" w:eastAsia="ＭＳ 明朝" w:hAnsi="ＭＳ 明朝" w:cs="Adobe Song Std L" w:hint="eastAsia"/>
                <w:szCs w:val="21"/>
              </w:rPr>
              <w:t>確認</w:t>
            </w:r>
            <w:r w:rsidR="00F64C1D">
              <w:rPr>
                <w:rFonts w:ascii="ＭＳ 明朝" w:eastAsia="ＭＳ 明朝" w:hAnsi="ＭＳ 明朝" w:cs="Adobe Song Std L" w:hint="eastAsia"/>
                <w:szCs w:val="21"/>
              </w:rPr>
              <w:t>から始まっており，数学Ⅱの内容から数学Ⅲの内容へなめらかに学習がつながるように配慮されている</w:t>
            </w:r>
            <w:r w:rsidR="00F64C1D" w:rsidRPr="00F64C1D">
              <w:rPr>
                <w:rFonts w:ascii="ＭＳ 明朝" w:eastAsia="ＭＳ 明朝" w:hAnsi="ＭＳ 明朝" w:cs="Adobe Song Std L" w:hint="eastAsia"/>
                <w:szCs w:val="21"/>
              </w:rPr>
              <w:t>。</w:t>
            </w:r>
            <w:r w:rsidR="00F64C1D">
              <w:rPr>
                <w:rFonts w:ascii="ＭＳ 明朝" w:eastAsia="ＭＳ 明朝" w:hAnsi="ＭＳ 明朝" w:cs="Adobe Song Std L"/>
                <w:szCs w:val="21"/>
              </w:rPr>
              <w:t>(p.66</w:t>
            </w:r>
            <w:r w:rsidR="00F64C1D">
              <w:rPr>
                <w:rFonts w:ascii="ＭＳ 明朝" w:eastAsia="ＭＳ 明朝" w:hAnsi="ＭＳ 明朝" w:cs="Adobe Song Std L" w:hint="eastAsia"/>
                <w:szCs w:val="21"/>
              </w:rPr>
              <w:t>～</w:t>
            </w:r>
            <w:r w:rsidR="00F64C1D" w:rsidRPr="00F64C1D">
              <w:rPr>
                <w:rFonts w:ascii="ＭＳ 明朝" w:eastAsia="ＭＳ 明朝" w:hAnsi="ＭＳ 明朝" w:cs="Adobe Song Std L"/>
                <w:szCs w:val="21"/>
              </w:rPr>
              <w:t>70)</w:t>
            </w:r>
          </w:p>
          <w:p w14:paraId="7B5151D8" w14:textId="1A0661B3"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F64C1D">
              <w:rPr>
                <w:rFonts w:ascii="ＭＳ 明朝" w:eastAsia="ＭＳ 明朝" w:hAnsi="ＭＳ 明朝" w:cs="Adobe Song Std L" w:hint="eastAsia"/>
                <w:szCs w:val="21"/>
              </w:rPr>
              <w:t>Ⅲ</w:t>
            </w:r>
            <w:r w:rsidRPr="00DA0F64">
              <w:rPr>
                <w:rFonts w:ascii="ＭＳ 明朝" w:eastAsia="ＭＳ 明朝" w:hAnsi="ＭＳ 明朝" w:cs="Adobe Song Std L"/>
                <w:szCs w:val="21"/>
              </w:rPr>
              <w:t>「3章</w:t>
            </w:r>
            <w:r>
              <w:rPr>
                <w:rFonts w:ascii="ＭＳ 明朝" w:eastAsia="ＭＳ 明朝" w:hAnsi="ＭＳ 明朝" w:cs="Adobe Song Std L" w:hint="eastAsia"/>
                <w:szCs w:val="21"/>
              </w:rPr>
              <w:t xml:space="preserve">　</w:t>
            </w:r>
            <w:r w:rsidR="00F64C1D">
              <w:rPr>
                <w:rFonts w:ascii="ＭＳ 明朝" w:eastAsia="ＭＳ 明朝" w:hAnsi="ＭＳ 明朝" w:cs="Adobe Song Std L" w:hint="eastAsia"/>
                <w:szCs w:val="21"/>
              </w:rPr>
              <w:t>微分の応用</w:t>
            </w:r>
            <w:r w:rsidRPr="00DA0F64">
              <w:rPr>
                <w:rFonts w:ascii="ＭＳ 明朝" w:eastAsia="ＭＳ 明朝" w:hAnsi="ＭＳ 明朝" w:cs="Adobe Song Std L"/>
                <w:szCs w:val="21"/>
              </w:rPr>
              <w:t>」では，</w:t>
            </w:r>
            <w:r w:rsidR="00252EA5">
              <w:rPr>
                <w:rFonts w:ascii="ＭＳ 明朝" w:eastAsia="ＭＳ 明朝" w:hAnsi="ＭＳ 明朝" w:cs="Adobe Song Std L" w:hint="eastAsia"/>
                <w:szCs w:val="21"/>
              </w:rPr>
              <w:t>関数のグラフの概形について，例題に取り組んだ後に，その過程で着目した事柄が整理されており</w:t>
            </w:r>
            <w:r w:rsidR="00F64C1D" w:rsidRPr="00F64C1D">
              <w:rPr>
                <w:rFonts w:ascii="ＭＳ 明朝" w:eastAsia="ＭＳ 明朝" w:hAnsi="ＭＳ 明朝" w:cs="Adobe Song Std L" w:hint="eastAsia"/>
                <w:szCs w:val="21"/>
              </w:rPr>
              <w:t>，関数のグラフの書き方の一般的な方法についての理解が</w:t>
            </w:r>
            <w:r w:rsidR="00252EA5">
              <w:rPr>
                <w:rFonts w:ascii="ＭＳ 明朝" w:eastAsia="ＭＳ 明朝" w:hAnsi="ＭＳ 明朝" w:cs="Adobe Song Std L" w:hint="eastAsia"/>
                <w:szCs w:val="21"/>
              </w:rPr>
              <w:t>深められるよう工夫されている</w:t>
            </w:r>
            <w:r w:rsidR="00F64C1D" w:rsidRPr="00F64C1D">
              <w:rPr>
                <w:rFonts w:ascii="ＭＳ 明朝" w:eastAsia="ＭＳ 明朝" w:hAnsi="ＭＳ 明朝" w:cs="Adobe Song Std L" w:hint="eastAsia"/>
                <w:szCs w:val="21"/>
              </w:rPr>
              <w:t>。（</w:t>
            </w:r>
            <w:r w:rsidR="00252EA5">
              <w:rPr>
                <w:rFonts w:ascii="ＭＳ 明朝" w:eastAsia="ＭＳ 明朝" w:hAnsi="ＭＳ 明朝" w:cs="Adobe Song Std L"/>
                <w:szCs w:val="21"/>
              </w:rPr>
              <w:t>p.117</w:t>
            </w:r>
            <w:r w:rsidR="00252EA5">
              <w:rPr>
                <w:rFonts w:ascii="ＭＳ 明朝" w:eastAsia="ＭＳ 明朝" w:hAnsi="ＭＳ 明朝" w:cs="Adobe Song Std L" w:hint="eastAsia"/>
                <w:szCs w:val="21"/>
              </w:rPr>
              <w:t>～</w:t>
            </w:r>
            <w:r w:rsidR="00F64C1D" w:rsidRPr="00F64C1D">
              <w:rPr>
                <w:rFonts w:ascii="ＭＳ 明朝" w:eastAsia="ＭＳ 明朝" w:hAnsi="ＭＳ 明朝" w:cs="Adobe Song Std L"/>
                <w:szCs w:val="21"/>
              </w:rPr>
              <w:t>119）</w:t>
            </w:r>
          </w:p>
          <w:p w14:paraId="5BE68643" w14:textId="380C335F" w:rsidR="00252EA5"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F64C1D">
              <w:rPr>
                <w:rFonts w:ascii="ＭＳ 明朝" w:eastAsia="ＭＳ 明朝" w:hAnsi="ＭＳ 明朝" w:cs="Adobe Song Std L" w:hint="eastAsia"/>
                <w:szCs w:val="21"/>
              </w:rPr>
              <w:t>Ⅲ</w:t>
            </w:r>
            <w:r w:rsidRPr="00DA0F64">
              <w:rPr>
                <w:rFonts w:ascii="ＭＳ 明朝" w:eastAsia="ＭＳ 明朝" w:hAnsi="ＭＳ 明朝" w:cs="Adobe Song Std L"/>
                <w:szCs w:val="21"/>
              </w:rPr>
              <w:t>「4章</w:t>
            </w:r>
            <w:r>
              <w:rPr>
                <w:rFonts w:ascii="ＭＳ 明朝" w:eastAsia="ＭＳ 明朝" w:hAnsi="ＭＳ 明朝" w:cs="Adobe Song Std L" w:hint="eastAsia"/>
                <w:szCs w:val="21"/>
              </w:rPr>
              <w:t xml:space="preserve">　</w:t>
            </w:r>
            <w:r w:rsidR="00F64C1D">
              <w:rPr>
                <w:rFonts w:ascii="ＭＳ 明朝" w:eastAsia="ＭＳ 明朝" w:hAnsi="ＭＳ 明朝" w:cs="Adobe Song Std L" w:hint="eastAsia"/>
                <w:szCs w:val="21"/>
              </w:rPr>
              <w:t>積分とその応用</w:t>
            </w:r>
            <w:r w:rsidRPr="00DA0F64">
              <w:rPr>
                <w:rFonts w:ascii="ＭＳ 明朝" w:eastAsia="ＭＳ 明朝" w:hAnsi="ＭＳ 明朝" w:cs="Adobe Song Std L"/>
                <w:szCs w:val="21"/>
              </w:rPr>
              <w:t>」では，</w:t>
            </w:r>
            <w:r w:rsidR="00252EA5">
              <w:rPr>
                <w:rFonts w:ascii="ＭＳ 明朝" w:eastAsia="ＭＳ 明朝" w:hAnsi="ＭＳ 明朝" w:cs="Adobe Song Std L" w:hint="eastAsia"/>
                <w:szCs w:val="21"/>
              </w:rPr>
              <w:t>数学Ⅱで学習した積分に関する用語や記号の確認から始まっており，数学Ⅱの内容から数学Ⅲの内容へなめらかに学習がつながるように配慮されている</w:t>
            </w:r>
            <w:r w:rsidR="00252EA5" w:rsidRPr="00252EA5">
              <w:rPr>
                <w:rFonts w:ascii="ＭＳ 明朝" w:eastAsia="ＭＳ 明朝" w:hAnsi="ＭＳ 明朝" w:cs="Adobe Song Std L" w:hint="eastAsia"/>
                <w:szCs w:val="21"/>
              </w:rPr>
              <w:t>。また，</w:t>
            </w:r>
            <w:r w:rsidR="00252EA5">
              <w:rPr>
                <w:rFonts w:ascii="ＭＳ 明朝" w:eastAsia="ＭＳ 明朝" w:hAnsi="ＭＳ 明朝" w:cs="Adobe Song Std L" w:hint="eastAsia"/>
                <w:szCs w:val="21"/>
              </w:rPr>
              <w:t>置換積分法と部分積分法を学習する場面では，豊富な具体例とともに，対応関係が色分けで示されており，積分法への理解が深まるように工夫されている</w:t>
            </w:r>
            <w:r w:rsidR="00252EA5" w:rsidRPr="00252EA5">
              <w:rPr>
                <w:rFonts w:ascii="ＭＳ 明朝" w:eastAsia="ＭＳ 明朝" w:hAnsi="ＭＳ 明朝" w:cs="Adobe Song Std L" w:hint="eastAsia"/>
                <w:szCs w:val="21"/>
              </w:rPr>
              <w:t>。</w:t>
            </w:r>
          </w:p>
          <w:p w14:paraId="79BDD57C" w14:textId="49F68598" w:rsidR="003D33EB" w:rsidRPr="00DA0F64" w:rsidRDefault="00252EA5" w:rsidP="00252EA5">
            <w:pPr>
              <w:ind w:leftChars="100" w:left="210"/>
              <w:rPr>
                <w:rFonts w:ascii="ＭＳ 明朝" w:eastAsia="ＭＳ 明朝" w:hAnsi="ＭＳ 明朝" w:cs="Adobe Song Std L"/>
                <w:szCs w:val="21"/>
              </w:rPr>
            </w:pPr>
            <w:r>
              <w:rPr>
                <w:rFonts w:ascii="ＭＳ 明朝" w:eastAsia="ＭＳ 明朝" w:hAnsi="ＭＳ 明朝" w:cs="Adobe Song Std L"/>
                <w:szCs w:val="21"/>
              </w:rPr>
              <w:t>(p.140</w:t>
            </w:r>
            <w:r>
              <w:rPr>
                <w:rFonts w:ascii="ＭＳ 明朝" w:eastAsia="ＭＳ 明朝" w:hAnsi="ＭＳ 明朝" w:cs="Adobe Song Std L" w:hint="eastAsia"/>
                <w:szCs w:val="21"/>
              </w:rPr>
              <w:t>～</w:t>
            </w:r>
            <w:r w:rsidRPr="00252EA5">
              <w:rPr>
                <w:rFonts w:ascii="ＭＳ 明朝" w:eastAsia="ＭＳ 明朝" w:hAnsi="ＭＳ 明朝" w:cs="Adobe Song Std L"/>
                <w:szCs w:val="21"/>
              </w:rPr>
              <w:t>152)</w:t>
            </w:r>
          </w:p>
          <w:p w14:paraId="7961542C" w14:textId="1F0EAA31"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課題学習として，学習内容を日常や社会の事象に活用させる内容（「活用」）や，学習内容を数学的に探究させる内容（「探究」）が多数取り上げられており，生徒の興味・関心を高める数学的活動を重視した課題が扱われている。</w:t>
            </w:r>
          </w:p>
          <w:p w14:paraId="25E720C2" w14:textId="10A3E6D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●「発展的な学習内容」は，関連する内容と同じ章に掲載されていて，生徒や学校の実態に応じて無理なく扱えるよう工夫されている。</w:t>
            </w:r>
          </w:p>
        </w:tc>
      </w:tr>
      <w:tr w:rsidR="003D33EB" w:rsidRPr="002C0F0A" w14:paraId="02D08B93" w14:textId="72477F84" w:rsidTr="003D33EB">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667564E8"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lastRenderedPageBreak/>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0ACF378" w14:textId="43C2315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359F97A6" w14:textId="15BB59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●学習指導要領に示された「内容」と「内容の取扱い」に準拠していて，生徒の実態に即し</w:t>
            </w:r>
            <w:r w:rsidRPr="00DA0F64">
              <w:rPr>
                <w:rFonts w:ascii="ＭＳ 明朝" w:eastAsia="ＭＳ 明朝" w:hAnsi="ＭＳ 明朝" w:cs="Adobe Song Std L"/>
                <w:color w:val="000000" w:themeColor="text1"/>
                <w:szCs w:val="21"/>
              </w:rPr>
              <w:t>た</w:t>
            </w:r>
            <w:r w:rsidRPr="00DA0F64">
              <w:rPr>
                <w:rFonts w:ascii="ＭＳ 明朝" w:eastAsia="ＭＳ 明朝" w:hAnsi="ＭＳ 明朝" w:cs="Adobe Song Std L"/>
                <w:szCs w:val="21"/>
              </w:rPr>
              <w:t>必要かつ十分な内容が適切に組織・配列されている。</w:t>
            </w:r>
          </w:p>
          <w:p w14:paraId="46899418" w14:textId="4F5BF2B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●例・例題→問→問題（節末）→練習問題（章末）の順に，段階を追って一定レベルの問題が過不足なく取り上げられており，その分量も適切である。</w:t>
            </w:r>
          </w:p>
          <w:p w14:paraId="27033FED" w14:textId="157C64F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●本文の問の末尾に問題（節末）と練習問題（章末）へのリンクマークが付され，追加問題が扱いやすくなるように工夫されている。</w:t>
            </w:r>
          </w:p>
          <w:p w14:paraId="42B82D75" w14:textId="603996C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●課題学習は，節末や章末に掲載されており，生徒や学校の実態に応じた指導ができるように配慮されている。</w:t>
            </w:r>
          </w:p>
          <w:p w14:paraId="63FD2DBD" w14:textId="7F3E7196" w:rsidR="003D33EB" w:rsidRPr="00DA0F64" w:rsidRDefault="003D33EB" w:rsidP="009B1E10">
            <w:pPr>
              <w:ind w:left="210" w:hangingChars="100" w:hanging="210"/>
              <w:rPr>
                <w:rFonts w:ascii="ＭＳ 明朝" w:eastAsia="ＭＳ 明朝" w:hAnsi="ＭＳ 明朝" w:cs="Adobe Song Std L" w:hint="eastAsia"/>
                <w:szCs w:val="21"/>
              </w:rPr>
            </w:pPr>
            <w:r w:rsidRPr="00DA0F64">
              <w:rPr>
                <w:rFonts w:ascii="ＭＳ 明朝" w:eastAsia="ＭＳ 明朝" w:hAnsi="ＭＳ 明朝" w:cs="Adobe Song Std L"/>
                <w:szCs w:val="21"/>
              </w:rPr>
              <w:t>●巻末には，「問題を解くときに働く見方・考え方」や「演習問題」が設けられており，進んだ生徒への配慮もされている。</w:t>
            </w:r>
            <w:bookmarkStart w:id="0" w:name="_GoBack"/>
            <w:bookmarkEnd w:id="0"/>
          </w:p>
        </w:tc>
      </w:tr>
      <w:tr w:rsidR="003D33EB" w:rsidRPr="002C0F0A" w14:paraId="0190FB83" w14:textId="134720AF" w:rsidTr="003D33EB">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3D33EB" w:rsidRDefault="003D33EB" w:rsidP="00DA0F64">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t>表記・表現及び指導に対する</w:t>
            </w:r>
          </w:p>
          <w:p w14:paraId="158726B3" w14:textId="156D81F6" w:rsidR="003D33EB" w:rsidRPr="002C0F0A" w:rsidRDefault="003D33EB" w:rsidP="00DA0F64">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03D0C82" w14:textId="588296E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●全編を通して本文の理解を助けるように，イラスト，写真，図が適切に用いられている。</w:t>
            </w:r>
          </w:p>
          <w:p w14:paraId="61159E08"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●必要に応じて色を使い，視覚的な内容理解ができるよう配慮されている。</w:t>
            </w:r>
          </w:p>
          <w:p w14:paraId="155C8BB3"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●用語・記号は統一されており，記述の仕方も適切である。</w:t>
            </w:r>
          </w:p>
          <w:p w14:paraId="1A680FFF" w14:textId="24E50AC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●ICT機器を利用すると効果的な箇所にDマークコンテンツが用意されており，生徒が柔軟に学習を進めることができるよう配慮されている。</w:t>
            </w:r>
          </w:p>
          <w:p w14:paraId="253A656E" w14:textId="01DAE709"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●章の扉では，章の学習内容が，身近な題材や数学の歴史などと関連付けて紹介されており，生徒の学習意欲を高めるよう工夫されている。</w:t>
            </w:r>
          </w:p>
          <w:p w14:paraId="4C5204DA" w14:textId="45DDF1FA"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●教科書を支援する指導書や周辺教材などが充実しており，指導しやすい教科書である。</w:t>
            </w:r>
          </w:p>
        </w:tc>
      </w:tr>
      <w:tr w:rsidR="003D33EB" w:rsidRPr="002C0F0A" w14:paraId="7813244F" w14:textId="4606CFD1" w:rsidTr="003D33EB">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320D7BAD" w14:textId="775F5E0C"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A4E6055" w14:textId="6E98D6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15F73D69"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●活字はユニバーサルデザインで美しく，写真，挿し絵も鮮明で効果的である。</w:t>
            </w:r>
          </w:p>
          <w:p w14:paraId="48FBAC67"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●製本は堅牢で，開きやすい様式である。</w:t>
            </w:r>
          </w:p>
          <w:p w14:paraId="7A11BB4A" w14:textId="78AC7F9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●図やグラフの色使いなど，色覚特性への配慮を含むユニバーサルデザインとなっており，全ページにわたって配色を工夫するなど，だれもが見やすい紙面になっている。</w:t>
            </w:r>
          </w:p>
          <w:p w14:paraId="154AF7DA" w14:textId="213D9E8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●本文の用紙には再生紙と植物油インキを使用し，印刷業界団体が定めた環境配慮基準を満たす「グリーンプリンティング認定工場」で印刷するなど，地球環境や資源に及ぼす影響も考慮されている。</w:t>
            </w:r>
          </w:p>
        </w:tc>
      </w:tr>
      <w:tr w:rsidR="003D33EB"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156F78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1ED7D53B"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BDD84" w14:textId="77777777" w:rsidR="005679D4" w:rsidRDefault="005679D4" w:rsidP="00863C86">
      <w:r>
        <w:separator/>
      </w:r>
    </w:p>
  </w:endnote>
  <w:endnote w:type="continuationSeparator" w:id="0">
    <w:p w14:paraId="31915C63" w14:textId="77777777" w:rsidR="005679D4" w:rsidRDefault="005679D4" w:rsidP="0086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1B653" w14:textId="77777777" w:rsidR="005679D4" w:rsidRDefault="005679D4" w:rsidP="00863C86">
      <w:r>
        <w:separator/>
      </w:r>
    </w:p>
  </w:footnote>
  <w:footnote w:type="continuationSeparator" w:id="0">
    <w:p w14:paraId="64FF2CA5" w14:textId="77777777" w:rsidR="005679D4" w:rsidRDefault="005679D4" w:rsidP="00863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252E44"/>
    <w:rsid w:val="00252EA5"/>
    <w:rsid w:val="002C0F0A"/>
    <w:rsid w:val="0039767A"/>
    <w:rsid w:val="003D1E11"/>
    <w:rsid w:val="003D33EB"/>
    <w:rsid w:val="005617E3"/>
    <w:rsid w:val="005679D4"/>
    <w:rsid w:val="007B2E68"/>
    <w:rsid w:val="00863C86"/>
    <w:rsid w:val="0091114A"/>
    <w:rsid w:val="009B1E10"/>
    <w:rsid w:val="00AA65DB"/>
    <w:rsid w:val="00D0453D"/>
    <w:rsid w:val="00DA0F64"/>
    <w:rsid w:val="00EA719B"/>
    <w:rsid w:val="00F64C1D"/>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C86"/>
    <w:pPr>
      <w:tabs>
        <w:tab w:val="center" w:pos="4252"/>
        <w:tab w:val="right" w:pos="8504"/>
      </w:tabs>
      <w:snapToGrid w:val="0"/>
    </w:pPr>
  </w:style>
  <w:style w:type="character" w:customStyle="1" w:styleId="a4">
    <w:name w:val="ヘッダー (文字)"/>
    <w:basedOn w:val="a0"/>
    <w:link w:val="a3"/>
    <w:uiPriority w:val="99"/>
    <w:rsid w:val="00863C86"/>
  </w:style>
  <w:style w:type="paragraph" w:styleId="a5">
    <w:name w:val="footer"/>
    <w:basedOn w:val="a"/>
    <w:link w:val="a6"/>
    <w:uiPriority w:val="99"/>
    <w:unhideWhenUsed/>
    <w:rsid w:val="00863C86"/>
    <w:pPr>
      <w:tabs>
        <w:tab w:val="center" w:pos="4252"/>
        <w:tab w:val="right" w:pos="8504"/>
      </w:tabs>
      <w:snapToGrid w:val="0"/>
    </w:pPr>
  </w:style>
  <w:style w:type="character" w:customStyle="1" w:styleId="a6">
    <w:name w:val="フッター (文字)"/>
    <w:basedOn w:val="a0"/>
    <w:link w:val="a5"/>
    <w:uiPriority w:val="99"/>
    <w:rsid w:val="00863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2022-03-24T09:23:00Z</dcterms:created>
  <dcterms:modified xsi:type="dcterms:W3CDTF">2022-03-29T11:09:00Z</dcterms:modified>
</cp:coreProperties>
</file>