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BD292" w14:textId="2B5E529A"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w:t>
      </w:r>
      <w:r w:rsidR="001B2429">
        <w:rPr>
          <w:rFonts w:ascii="ＭＳ Ｐゴシック" w:eastAsia="ＭＳ Ｐゴシック" w:hAnsi="ＭＳ Ｐゴシック"/>
          <w:sz w:val="18"/>
          <w:szCs w:val="18"/>
          <w:bdr w:val="single" w:sz="4" w:space="0" w:color="auto"/>
        </w:rPr>
        <w:t>5</w:t>
      </w:r>
      <w:r w:rsidRPr="007B2E68">
        <w:rPr>
          <w:rFonts w:ascii="ＭＳ Ｐゴシック" w:eastAsia="ＭＳ Ｐゴシック" w:hAnsi="ＭＳ Ｐゴシック" w:hint="eastAsia"/>
          <w:sz w:val="18"/>
          <w:szCs w:val="18"/>
          <w:bdr w:val="single" w:sz="4" w:space="0" w:color="auto"/>
        </w:rPr>
        <w:t>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5FE4A1CB" w:rsidR="002C0F0A" w:rsidRPr="007B2E68" w:rsidRDefault="002C0F0A" w:rsidP="002C0F0A">
      <w:pPr>
        <w:jc w:val="right"/>
        <w:rPr>
          <w:rFonts w:ascii="ＭＳ Ｐゴシック" w:eastAsia="ＭＳ Ｐゴシック" w:hAnsi="ＭＳ Ｐゴシック"/>
          <w:sz w:val="20"/>
          <w:szCs w:val="20"/>
        </w:rPr>
      </w:pPr>
      <w:r w:rsidRPr="007B2E68">
        <w:rPr>
          <w:rFonts w:ascii="ＭＳ Ｐゴシック" w:eastAsia="ＭＳ Ｐゴシック" w:hAnsi="ＭＳ Ｐゴシック" w:hint="eastAsia"/>
          <w:sz w:val="20"/>
          <w:szCs w:val="20"/>
        </w:rPr>
        <w:t>数学</w:t>
      </w:r>
      <w:r w:rsidR="00972E6C">
        <w:rPr>
          <w:rFonts w:ascii="ＭＳ Ｐゴシック" w:eastAsia="ＭＳ Ｐゴシック" w:hAnsi="ＭＳ Ｐゴシック"/>
          <w:sz w:val="20"/>
          <w:szCs w:val="20"/>
        </w:rPr>
        <w:t>C</w:t>
      </w:r>
      <w:r w:rsidR="007B2E68" w:rsidRPr="007B2E68">
        <w:rPr>
          <w:rFonts w:ascii="ＭＳ Ｐゴシック" w:eastAsia="ＭＳ Ｐゴシック" w:hAnsi="ＭＳ Ｐゴシック" w:hint="eastAsia"/>
          <w:sz w:val="20"/>
          <w:szCs w:val="20"/>
        </w:rPr>
        <w:t xml:space="preserve"> </w:t>
      </w:r>
      <w:r w:rsidRPr="007B2E68">
        <w:rPr>
          <w:rFonts w:ascii="ＭＳ Ｐゴシック" w:eastAsia="ＭＳ Ｐゴシック" w:hAnsi="ＭＳ Ｐゴシック"/>
          <w:sz w:val="20"/>
          <w:szCs w:val="20"/>
        </w:rPr>
        <w:t>Advanced</w:t>
      </w:r>
      <w:r w:rsidR="007B2E68" w:rsidRPr="007B2E68">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w:t>
      </w:r>
      <w:r w:rsidR="00972E6C">
        <w:rPr>
          <w:rFonts w:ascii="ＭＳ Ｐゴシック" w:eastAsia="ＭＳ Ｐゴシック" w:hAnsi="ＭＳ Ｐゴシック" w:hint="eastAsia"/>
          <w:sz w:val="20"/>
          <w:szCs w:val="20"/>
        </w:rPr>
        <w:t>C</w:t>
      </w:r>
      <w:r w:rsidRPr="007B2E68">
        <w:rPr>
          <w:rFonts w:ascii="ＭＳ Ｐゴシック" w:eastAsia="ＭＳ Ｐゴシック" w:hAnsi="ＭＳ Ｐゴシック"/>
          <w:sz w:val="20"/>
          <w:szCs w:val="20"/>
        </w:rPr>
        <w:t>701</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3D33EB">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7D7FB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7D7FB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7D7FB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3D33EB" w:rsidRPr="002C0F0A" w14:paraId="2EE08739" w14:textId="31805C25"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0D10AFC9" w14:textId="6622F24F"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●基礎的・基本的な事項がコンパクトに網羅されている。また，丁寧な記述とスモールステップな問題配列で，スムーズに授業が展開できるように工夫して編集されている。</w:t>
            </w:r>
          </w:p>
          <w:p w14:paraId="543473F5" w14:textId="24D1E76E" w:rsidR="003D33EB" w:rsidRDefault="003D33EB" w:rsidP="00775649">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sidR="00972E6C">
              <w:rPr>
                <w:rFonts w:ascii="ＭＳ 明朝" w:eastAsia="ＭＳ 明朝" w:hAnsi="ＭＳ 明朝" w:cs="Adobe Song Std L" w:hint="eastAsia"/>
                <w:szCs w:val="21"/>
              </w:rPr>
              <w:t>Ｃ</w:t>
            </w:r>
            <w:r w:rsidRPr="00DA0F64">
              <w:rPr>
                <w:rFonts w:ascii="ＭＳ 明朝" w:eastAsia="ＭＳ 明朝" w:hAnsi="ＭＳ 明朝" w:cs="Adobe Song Std L"/>
                <w:szCs w:val="21"/>
              </w:rPr>
              <w:t>「1章</w:t>
            </w:r>
            <w:r>
              <w:rPr>
                <w:rFonts w:ascii="ＭＳ 明朝" w:eastAsia="ＭＳ 明朝" w:hAnsi="ＭＳ 明朝" w:cs="Adobe Song Std L" w:hint="eastAsia"/>
                <w:szCs w:val="21"/>
              </w:rPr>
              <w:t xml:space="preserve">　</w:t>
            </w:r>
            <w:r w:rsidR="00972E6C">
              <w:rPr>
                <w:rFonts w:ascii="ＭＳ 明朝" w:eastAsia="ＭＳ 明朝" w:hAnsi="ＭＳ 明朝" w:cs="Adobe Song Std L" w:hint="eastAsia"/>
                <w:szCs w:val="21"/>
              </w:rPr>
              <w:t>ベクトル</w:t>
            </w:r>
            <w:r w:rsidRPr="00DA0F64">
              <w:rPr>
                <w:rFonts w:ascii="ＭＳ 明朝" w:eastAsia="ＭＳ 明朝" w:hAnsi="ＭＳ 明朝" w:cs="Adobe Song Std L"/>
                <w:szCs w:val="21"/>
              </w:rPr>
              <w:t>」では，</w:t>
            </w:r>
            <w:r w:rsidR="00972E6C">
              <w:rPr>
                <w:rFonts w:ascii="ＭＳ 明朝" w:eastAsia="ＭＳ 明朝" w:hAnsi="ＭＳ 明朝" w:cs="Adobe Song Std L" w:hint="eastAsia"/>
                <w:szCs w:val="21"/>
              </w:rPr>
              <w:t>ベクトル方程式を用いて図形を考察する場面において</w:t>
            </w:r>
            <w:r w:rsidR="00972E6C" w:rsidRPr="00972E6C">
              <w:rPr>
                <w:rFonts w:ascii="ＭＳ 明朝" w:eastAsia="ＭＳ 明朝" w:hAnsi="ＭＳ 明朝" w:cs="Adobe Song Std L" w:hint="eastAsia"/>
                <w:szCs w:val="21"/>
              </w:rPr>
              <w:t>，ベクトル方程式を用いて表現され</w:t>
            </w:r>
            <w:r w:rsidR="00972E6C">
              <w:rPr>
                <w:rFonts w:ascii="ＭＳ 明朝" w:eastAsia="ＭＳ 明朝" w:hAnsi="ＭＳ 明朝" w:cs="Adobe Song Std L" w:hint="eastAsia"/>
                <w:szCs w:val="21"/>
              </w:rPr>
              <w:t>た内容を座標平面上で解釈したり，座標平面へと応用したりする記述が</w:t>
            </w:r>
            <w:r w:rsidR="00972E6C" w:rsidRPr="00972E6C">
              <w:rPr>
                <w:rFonts w:ascii="ＭＳ 明朝" w:eastAsia="ＭＳ 明朝" w:hAnsi="ＭＳ 明朝" w:cs="Adobe Song Std L" w:hint="eastAsia"/>
                <w:szCs w:val="21"/>
              </w:rPr>
              <w:t>充実</w:t>
            </w:r>
            <w:r w:rsidR="00972E6C">
              <w:rPr>
                <w:rFonts w:ascii="ＭＳ 明朝" w:eastAsia="ＭＳ 明朝" w:hAnsi="ＭＳ 明朝" w:cs="Adobe Song Std L" w:hint="eastAsia"/>
                <w:szCs w:val="21"/>
              </w:rPr>
              <w:t>しており，</w:t>
            </w:r>
            <w:r w:rsidR="00972E6C" w:rsidRPr="00972E6C">
              <w:rPr>
                <w:rFonts w:ascii="ＭＳ 明朝" w:eastAsia="ＭＳ 明朝" w:hAnsi="ＭＳ 明朝" w:cs="Adobe Song Std L" w:hint="eastAsia"/>
                <w:szCs w:val="21"/>
              </w:rPr>
              <w:t>数学Ⅱの「図形と方程式」の学習との関連を意識しながら，ベクトル方程式の意義を理解することができ</w:t>
            </w:r>
            <w:r w:rsidR="00972E6C">
              <w:rPr>
                <w:rFonts w:ascii="ＭＳ 明朝" w:eastAsia="ＭＳ 明朝" w:hAnsi="ＭＳ 明朝" w:cs="Adobe Song Std L" w:hint="eastAsia"/>
                <w:szCs w:val="21"/>
              </w:rPr>
              <w:t>るよう工夫されている</w:t>
            </w:r>
            <w:r w:rsidR="00972E6C" w:rsidRPr="00972E6C">
              <w:rPr>
                <w:rFonts w:ascii="ＭＳ 明朝" w:eastAsia="ＭＳ 明朝" w:hAnsi="ＭＳ 明朝" w:cs="Adobe Song Std L" w:hint="eastAsia"/>
                <w:szCs w:val="21"/>
              </w:rPr>
              <w:t>。（</w:t>
            </w:r>
            <w:r w:rsidR="00972E6C">
              <w:rPr>
                <w:rFonts w:ascii="ＭＳ 明朝" w:eastAsia="ＭＳ 明朝" w:hAnsi="ＭＳ 明朝" w:cs="Adobe Song Std L"/>
                <w:szCs w:val="21"/>
              </w:rPr>
              <w:t>p.35</w:t>
            </w:r>
            <w:r w:rsidR="00972E6C">
              <w:rPr>
                <w:rFonts w:ascii="ＭＳ 明朝" w:eastAsia="ＭＳ 明朝" w:hAnsi="ＭＳ 明朝" w:cs="Adobe Song Std L" w:hint="eastAsia"/>
                <w:szCs w:val="21"/>
              </w:rPr>
              <w:t>～</w:t>
            </w:r>
            <w:r w:rsidR="00972E6C" w:rsidRPr="00972E6C">
              <w:rPr>
                <w:rFonts w:ascii="ＭＳ 明朝" w:eastAsia="ＭＳ 明朝" w:hAnsi="ＭＳ 明朝" w:cs="Adobe Song Std L"/>
                <w:szCs w:val="21"/>
              </w:rPr>
              <w:t>43）</w:t>
            </w:r>
          </w:p>
          <w:p w14:paraId="30045286" w14:textId="3AD34678" w:rsidR="00B10B1F" w:rsidRDefault="00EA719B" w:rsidP="00972E6C">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sidR="00972E6C">
              <w:rPr>
                <w:rFonts w:ascii="ＭＳ 明朝" w:eastAsia="ＭＳ 明朝" w:hAnsi="ＭＳ 明朝" w:cs="Adobe Song Std L" w:hint="eastAsia"/>
                <w:szCs w:val="21"/>
              </w:rPr>
              <w:t>Ｃ</w:t>
            </w:r>
            <w:r w:rsidRPr="00DA0F64">
              <w:rPr>
                <w:rFonts w:ascii="ＭＳ 明朝" w:eastAsia="ＭＳ 明朝" w:hAnsi="ＭＳ 明朝" w:cs="Adobe Song Std L"/>
                <w:szCs w:val="21"/>
              </w:rPr>
              <w:t>「</w:t>
            </w:r>
            <w:r>
              <w:rPr>
                <w:rFonts w:ascii="ＭＳ 明朝" w:eastAsia="ＭＳ 明朝" w:hAnsi="ＭＳ 明朝" w:cs="Adobe Song Std L"/>
                <w:szCs w:val="21"/>
              </w:rPr>
              <w:t>2</w:t>
            </w:r>
            <w:r w:rsidRPr="00DA0F64">
              <w:rPr>
                <w:rFonts w:ascii="ＭＳ 明朝" w:eastAsia="ＭＳ 明朝" w:hAnsi="ＭＳ 明朝" w:cs="Adobe Song Std L"/>
                <w:szCs w:val="21"/>
              </w:rPr>
              <w:t>章</w:t>
            </w:r>
            <w:r w:rsidR="00586158">
              <w:rPr>
                <w:rFonts w:ascii="ＭＳ 明朝" w:eastAsia="ＭＳ 明朝" w:hAnsi="ＭＳ 明朝" w:cs="Adobe Song Std L" w:hint="eastAsia"/>
                <w:szCs w:val="21"/>
              </w:rPr>
              <w:t xml:space="preserve">　</w:t>
            </w:r>
            <w:r w:rsidR="00972E6C">
              <w:rPr>
                <w:rFonts w:ascii="ＭＳ 明朝" w:eastAsia="ＭＳ 明朝" w:hAnsi="ＭＳ 明朝" w:cs="Adobe Song Std L" w:hint="eastAsia"/>
                <w:szCs w:val="21"/>
              </w:rPr>
              <w:t>平面上の曲線</w:t>
            </w:r>
            <w:r w:rsidRPr="00DA0F64">
              <w:rPr>
                <w:rFonts w:ascii="ＭＳ 明朝" w:eastAsia="ＭＳ 明朝" w:hAnsi="ＭＳ 明朝" w:cs="Adobe Song Std L"/>
                <w:szCs w:val="21"/>
              </w:rPr>
              <w:t>」では，</w:t>
            </w:r>
            <w:r w:rsidR="00972E6C">
              <w:rPr>
                <w:rFonts w:ascii="ＭＳ 明朝" w:eastAsia="ＭＳ 明朝" w:hAnsi="ＭＳ 明朝" w:cs="Adobe Song Std L" w:hint="eastAsia"/>
                <w:szCs w:val="21"/>
              </w:rPr>
              <w:t>曲線の一部のみになるような複雑な媒介変数表示は本文で取り上げておらず，曲線の媒介変数表示を初めて学習することに配慮されている。そのような</w:t>
            </w:r>
            <w:r w:rsidR="00972E6C" w:rsidRPr="00972E6C">
              <w:rPr>
                <w:rFonts w:ascii="ＭＳ 明朝" w:eastAsia="ＭＳ 明朝" w:hAnsi="ＭＳ 明朝" w:cs="Adobe Song Std L" w:hint="eastAsia"/>
                <w:szCs w:val="21"/>
              </w:rPr>
              <w:t>複雑な曲線の媒介変数表示は，参考や節末問題，章末問題で段階的に取り上げ</w:t>
            </w:r>
            <w:r w:rsidR="00972E6C">
              <w:rPr>
                <w:rFonts w:ascii="ＭＳ 明朝" w:eastAsia="ＭＳ 明朝" w:hAnsi="ＭＳ 明朝" w:cs="Adobe Song Std L" w:hint="eastAsia"/>
                <w:szCs w:val="21"/>
              </w:rPr>
              <w:t>られており，状況に応じて扱えるよう工夫されている</w:t>
            </w:r>
            <w:r w:rsidR="00972E6C" w:rsidRPr="00972E6C">
              <w:rPr>
                <w:rFonts w:ascii="ＭＳ 明朝" w:eastAsia="ＭＳ 明朝" w:hAnsi="ＭＳ 明朝" w:cs="Adobe Song Std L" w:hint="eastAsia"/>
                <w:szCs w:val="21"/>
              </w:rPr>
              <w:t>。（</w:t>
            </w:r>
            <w:r w:rsidR="00972E6C">
              <w:rPr>
                <w:rFonts w:ascii="ＭＳ 明朝" w:eastAsia="ＭＳ 明朝" w:hAnsi="ＭＳ 明朝" w:cs="Adobe Song Std L"/>
                <w:szCs w:val="21"/>
              </w:rPr>
              <w:t>p.99</w:t>
            </w:r>
            <w:r w:rsidR="00972E6C">
              <w:rPr>
                <w:rFonts w:ascii="ＭＳ 明朝" w:eastAsia="ＭＳ 明朝" w:hAnsi="ＭＳ 明朝" w:cs="Adobe Song Std L" w:hint="eastAsia"/>
                <w:szCs w:val="21"/>
              </w:rPr>
              <w:t>～</w:t>
            </w:r>
            <w:r w:rsidR="00972E6C" w:rsidRPr="00972E6C">
              <w:rPr>
                <w:rFonts w:ascii="ＭＳ 明朝" w:eastAsia="ＭＳ 明朝" w:hAnsi="ＭＳ 明朝" w:cs="Adobe Song Std L"/>
                <w:szCs w:val="21"/>
              </w:rPr>
              <w:t>103</w:t>
            </w:r>
            <w:r w:rsidR="00972E6C">
              <w:rPr>
                <w:rFonts w:ascii="ＭＳ 明朝" w:eastAsia="ＭＳ 明朝" w:hAnsi="ＭＳ 明朝" w:cs="Adobe Song Std L" w:hint="eastAsia"/>
                <w:szCs w:val="21"/>
              </w:rPr>
              <w:t>,</w:t>
            </w:r>
            <w:r w:rsidR="00972E6C" w:rsidRPr="00972E6C">
              <w:rPr>
                <w:rFonts w:ascii="ＭＳ 明朝" w:eastAsia="ＭＳ 明朝" w:hAnsi="ＭＳ 明朝" w:cs="Adobe Song Std L"/>
                <w:szCs w:val="21"/>
              </w:rPr>
              <w:t>112</w:t>
            </w:r>
            <w:r w:rsidR="00972E6C">
              <w:rPr>
                <w:rFonts w:ascii="ＭＳ 明朝" w:eastAsia="ＭＳ 明朝" w:hAnsi="ＭＳ 明朝" w:cs="Adobe Song Std L" w:hint="eastAsia"/>
                <w:szCs w:val="21"/>
              </w:rPr>
              <w:t>,</w:t>
            </w:r>
            <w:r w:rsidR="00972E6C" w:rsidRPr="00972E6C">
              <w:rPr>
                <w:rFonts w:ascii="ＭＳ 明朝" w:eastAsia="ＭＳ 明朝" w:hAnsi="ＭＳ 明朝" w:cs="Adobe Song Std L"/>
                <w:szCs w:val="21"/>
              </w:rPr>
              <w:t>114）</w:t>
            </w:r>
          </w:p>
          <w:p w14:paraId="7B5151D8" w14:textId="6082F855" w:rsidR="003D33EB" w:rsidRDefault="003D33EB" w:rsidP="00E31D0C">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sidR="00972E6C">
              <w:rPr>
                <w:rFonts w:ascii="ＭＳ 明朝" w:eastAsia="ＭＳ 明朝" w:hAnsi="ＭＳ 明朝" w:cs="Adobe Song Std L" w:hint="eastAsia"/>
                <w:szCs w:val="21"/>
              </w:rPr>
              <w:t>Ｃ</w:t>
            </w:r>
            <w:r w:rsidRPr="00DA0F64">
              <w:rPr>
                <w:rFonts w:ascii="ＭＳ 明朝" w:eastAsia="ＭＳ 明朝" w:hAnsi="ＭＳ 明朝" w:cs="Adobe Song Std L"/>
                <w:szCs w:val="21"/>
              </w:rPr>
              <w:t>「3章</w:t>
            </w:r>
            <w:r>
              <w:rPr>
                <w:rFonts w:ascii="ＭＳ 明朝" w:eastAsia="ＭＳ 明朝" w:hAnsi="ＭＳ 明朝" w:cs="Adobe Song Std L" w:hint="eastAsia"/>
                <w:szCs w:val="21"/>
              </w:rPr>
              <w:t xml:space="preserve">　</w:t>
            </w:r>
            <w:r w:rsidR="00972E6C">
              <w:rPr>
                <w:rFonts w:ascii="ＭＳ 明朝" w:eastAsia="ＭＳ 明朝" w:hAnsi="ＭＳ 明朝" w:cs="Adobe Song Std L" w:hint="eastAsia"/>
                <w:szCs w:val="21"/>
              </w:rPr>
              <w:t>複素数平面</w:t>
            </w:r>
            <w:r w:rsidRPr="00DA0F64">
              <w:rPr>
                <w:rFonts w:ascii="ＭＳ 明朝" w:eastAsia="ＭＳ 明朝" w:hAnsi="ＭＳ 明朝" w:cs="Adobe Song Std L"/>
                <w:szCs w:val="21"/>
              </w:rPr>
              <w:t>」では，</w:t>
            </w:r>
            <w:r w:rsidR="00972E6C">
              <w:rPr>
                <w:rFonts w:ascii="ＭＳ 明朝" w:eastAsia="ＭＳ 明朝" w:hAnsi="ＭＳ 明朝" w:cs="Adobe Song Std L" w:hint="eastAsia"/>
                <w:szCs w:val="21"/>
              </w:rPr>
              <w:t>複素数平面上での演算を導入する場面において，ベクトルの演算との類似性に触れる注意があり。学んだことを意識しながら学習を進めることができるよう配慮されている。また，</w:t>
            </w:r>
            <w:r w:rsidR="00972E6C" w:rsidRPr="00972E6C">
              <w:rPr>
                <w:rFonts w:ascii="ＭＳ 明朝" w:eastAsia="ＭＳ 明朝" w:hAnsi="ＭＳ 明朝" w:cs="Adobe Song Std L" w:hint="eastAsia"/>
                <w:szCs w:val="21"/>
              </w:rPr>
              <w:t>やや複雑な図形の変換や点の回転など，複素数平面の有用性が実感できるような題材を多数</w:t>
            </w:r>
            <w:r w:rsidR="00972E6C">
              <w:rPr>
                <w:rFonts w:ascii="ＭＳ 明朝" w:eastAsia="ＭＳ 明朝" w:hAnsi="ＭＳ 明朝" w:cs="Adobe Song Std L" w:hint="eastAsia"/>
                <w:szCs w:val="21"/>
              </w:rPr>
              <w:t>取り上げている。</w:t>
            </w:r>
            <w:r w:rsidR="00972E6C" w:rsidRPr="00972E6C">
              <w:rPr>
                <w:rFonts w:ascii="ＭＳ 明朝" w:eastAsia="ＭＳ 明朝" w:hAnsi="ＭＳ 明朝" w:cs="Adobe Song Std L" w:hint="eastAsia"/>
                <w:szCs w:val="21"/>
              </w:rPr>
              <w:t>（</w:t>
            </w:r>
            <w:r w:rsidR="00972E6C" w:rsidRPr="00972E6C">
              <w:rPr>
                <w:rFonts w:ascii="ＭＳ 明朝" w:eastAsia="ＭＳ 明朝" w:hAnsi="ＭＳ 明朝" w:cs="Adobe Song Std L"/>
                <w:szCs w:val="21"/>
              </w:rPr>
              <w:t>p.</w:t>
            </w:r>
            <w:r w:rsidR="00972E6C">
              <w:rPr>
                <w:rFonts w:ascii="ＭＳ 明朝" w:eastAsia="ＭＳ 明朝" w:hAnsi="ＭＳ 明朝" w:cs="Adobe Song Std L" w:hint="eastAsia"/>
                <w:szCs w:val="21"/>
              </w:rPr>
              <w:t>121</w:t>
            </w:r>
            <w:r w:rsidR="00972E6C">
              <w:rPr>
                <w:rFonts w:ascii="ＭＳ 明朝" w:eastAsia="ＭＳ 明朝" w:hAnsi="ＭＳ 明朝" w:cs="Adobe Song Std L"/>
                <w:szCs w:val="21"/>
              </w:rPr>
              <w:t>,125</w:t>
            </w:r>
            <w:r w:rsidR="00972E6C">
              <w:rPr>
                <w:rFonts w:ascii="ＭＳ 明朝" w:eastAsia="ＭＳ 明朝" w:hAnsi="ＭＳ 明朝" w:cs="Adobe Song Std L" w:hint="eastAsia"/>
                <w:szCs w:val="21"/>
              </w:rPr>
              <w:t>～</w:t>
            </w:r>
            <w:r w:rsidR="00972E6C">
              <w:rPr>
                <w:rFonts w:ascii="ＭＳ 明朝" w:eastAsia="ＭＳ 明朝" w:hAnsi="ＭＳ 明朝" w:cs="Adobe Song Std L"/>
                <w:szCs w:val="21"/>
              </w:rPr>
              <w:t>127,138,</w:t>
            </w:r>
            <w:r w:rsidR="00972E6C" w:rsidRPr="00972E6C">
              <w:rPr>
                <w:rFonts w:ascii="ＭＳ 明朝" w:eastAsia="ＭＳ 明朝" w:hAnsi="ＭＳ 明朝" w:cs="Adobe Song Std L"/>
                <w:szCs w:val="21"/>
              </w:rPr>
              <w:t>139）</w:t>
            </w:r>
          </w:p>
          <w:p w14:paraId="1B7DCA98" w14:textId="6753D9EB" w:rsidR="00972E6C" w:rsidRPr="00DA0F64" w:rsidRDefault="00972E6C" w:rsidP="00E31D0C">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Pr>
                <w:rFonts w:ascii="ＭＳ 明朝" w:eastAsia="ＭＳ 明朝" w:hAnsi="ＭＳ 明朝" w:cs="Adobe Song Std L" w:hint="eastAsia"/>
                <w:szCs w:val="21"/>
              </w:rPr>
              <w:t>Ｃ</w:t>
            </w:r>
            <w:r w:rsidRPr="00DA0F64">
              <w:rPr>
                <w:rFonts w:ascii="ＭＳ 明朝" w:eastAsia="ＭＳ 明朝" w:hAnsi="ＭＳ 明朝" w:cs="Adobe Song Std L"/>
                <w:szCs w:val="21"/>
              </w:rPr>
              <w:t>「</w:t>
            </w:r>
            <w:r>
              <w:rPr>
                <w:rFonts w:ascii="ＭＳ 明朝" w:eastAsia="ＭＳ 明朝" w:hAnsi="ＭＳ 明朝" w:cs="Adobe Song Std L"/>
                <w:szCs w:val="21"/>
              </w:rPr>
              <w:t>4</w:t>
            </w:r>
            <w:r w:rsidRPr="00DA0F64">
              <w:rPr>
                <w:rFonts w:ascii="ＭＳ 明朝" w:eastAsia="ＭＳ 明朝" w:hAnsi="ＭＳ 明朝" w:cs="Adobe Song Std L"/>
                <w:szCs w:val="21"/>
              </w:rPr>
              <w:t>章</w:t>
            </w:r>
            <w:r>
              <w:rPr>
                <w:rFonts w:ascii="ＭＳ 明朝" w:eastAsia="ＭＳ 明朝" w:hAnsi="ＭＳ 明朝" w:cs="Adobe Song Std L" w:hint="eastAsia"/>
                <w:szCs w:val="21"/>
              </w:rPr>
              <w:t xml:space="preserve">　数学的な表現の工夫</w:t>
            </w:r>
            <w:r w:rsidRPr="00DA0F64">
              <w:rPr>
                <w:rFonts w:ascii="ＭＳ 明朝" w:eastAsia="ＭＳ 明朝" w:hAnsi="ＭＳ 明朝" w:cs="Adobe Song Std L"/>
                <w:szCs w:val="21"/>
              </w:rPr>
              <w:t>」では，</w:t>
            </w:r>
            <w:r>
              <w:rPr>
                <w:rFonts w:ascii="ＭＳ 明朝" w:eastAsia="ＭＳ 明朝" w:hAnsi="ＭＳ 明朝" w:cs="Adobe Song Std L" w:hint="eastAsia"/>
                <w:szCs w:val="21"/>
              </w:rPr>
              <w:t>離散グラフや行列の学習において</w:t>
            </w:r>
            <w:r w:rsidRPr="00972E6C">
              <w:rPr>
                <w:rFonts w:ascii="ＭＳ 明朝" w:eastAsia="ＭＳ 明朝" w:hAnsi="ＭＳ 明朝" w:cs="Adobe Song Std L" w:hint="eastAsia"/>
                <w:szCs w:val="21"/>
              </w:rPr>
              <w:t>，離散グラフを</w:t>
            </w:r>
            <w:r>
              <w:rPr>
                <w:rFonts w:ascii="ＭＳ 明朝" w:eastAsia="ＭＳ 明朝" w:hAnsi="ＭＳ 明朝" w:cs="Adobe Song Std L" w:hint="eastAsia"/>
                <w:szCs w:val="21"/>
              </w:rPr>
              <w:t>利用した全域最小木や最短経路を求めるアルゴリズムを取り上げている</w:t>
            </w:r>
            <w:r w:rsidRPr="00972E6C">
              <w:rPr>
                <w:rFonts w:ascii="ＭＳ 明朝" w:eastAsia="ＭＳ 明朝" w:hAnsi="ＭＳ 明朝" w:cs="Adobe Song Std L" w:hint="eastAsia"/>
                <w:szCs w:val="21"/>
              </w:rPr>
              <w:t>。また，離散グラフを行列に表して計算で処理する学習も取</w:t>
            </w:r>
            <w:r>
              <w:rPr>
                <w:rFonts w:ascii="ＭＳ 明朝" w:eastAsia="ＭＳ 明朝" w:hAnsi="ＭＳ 明朝" w:cs="Adobe Song Std L" w:hint="eastAsia"/>
                <w:szCs w:val="21"/>
              </w:rPr>
              <w:t>り上げており，表現の工夫と適した処理の関係を学ぶことができるよう工夫されている。</w:t>
            </w:r>
            <w:r w:rsidRPr="00972E6C">
              <w:rPr>
                <w:rFonts w:ascii="ＭＳ 明朝" w:eastAsia="ＭＳ 明朝" w:hAnsi="ＭＳ 明朝" w:cs="Adobe Song Std L" w:hint="eastAsia"/>
                <w:szCs w:val="21"/>
              </w:rPr>
              <w:t>（</w:t>
            </w:r>
            <w:r>
              <w:rPr>
                <w:rFonts w:ascii="ＭＳ 明朝" w:eastAsia="ＭＳ 明朝" w:hAnsi="ＭＳ 明朝" w:cs="Adobe Song Std L"/>
                <w:szCs w:val="21"/>
              </w:rPr>
              <w:t>p.150</w:t>
            </w:r>
            <w:r>
              <w:rPr>
                <w:rFonts w:ascii="ＭＳ 明朝" w:eastAsia="ＭＳ 明朝" w:hAnsi="ＭＳ 明朝" w:cs="Adobe Song Std L" w:hint="eastAsia"/>
                <w:szCs w:val="21"/>
              </w:rPr>
              <w:t>～</w:t>
            </w:r>
            <w:r w:rsidRPr="00972E6C">
              <w:rPr>
                <w:rFonts w:ascii="ＭＳ 明朝" w:eastAsia="ＭＳ 明朝" w:hAnsi="ＭＳ 明朝" w:cs="Adobe Song Std L"/>
                <w:szCs w:val="21"/>
              </w:rPr>
              <w:t>171）</w:t>
            </w:r>
          </w:p>
          <w:p w14:paraId="7961542C" w14:textId="4630FD4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●学習内容を日常や社会の事象に活用させる内容（「活用」）や，学習内容を数学的に探究させる内容（「探究」）が多数取り</w:t>
            </w:r>
            <w:r w:rsidR="00C8422C">
              <w:rPr>
                <w:rFonts w:ascii="ＭＳ 明朝" w:eastAsia="ＭＳ 明朝" w:hAnsi="ＭＳ 明朝" w:cs="Adobe Song Std L"/>
                <w:szCs w:val="21"/>
              </w:rPr>
              <w:t>上げられており，生徒の興味・関心を高める数学的活動を重視した</w:t>
            </w:r>
            <w:r w:rsidR="00C8422C">
              <w:rPr>
                <w:rFonts w:ascii="ＭＳ 明朝" w:eastAsia="ＭＳ 明朝" w:hAnsi="ＭＳ 明朝" w:cs="Adobe Song Std L" w:hint="eastAsia"/>
                <w:szCs w:val="21"/>
              </w:rPr>
              <w:t>題材</w:t>
            </w:r>
            <w:r w:rsidRPr="00DA0F64">
              <w:rPr>
                <w:rFonts w:ascii="ＭＳ 明朝" w:eastAsia="ＭＳ 明朝" w:hAnsi="ＭＳ 明朝" w:cs="Adobe Song Std L"/>
                <w:szCs w:val="21"/>
              </w:rPr>
              <w:t>が扱われている。</w:t>
            </w:r>
          </w:p>
          <w:p w14:paraId="25E720C2" w14:textId="10A3E6D5"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●「発展的な学習内容」は，関連する内容と同じ章に掲載されていて，生徒や学校の実態に応じて無理なく扱えるよう工夫されている。</w:t>
            </w:r>
          </w:p>
        </w:tc>
      </w:tr>
      <w:tr w:rsidR="003D33EB" w:rsidRPr="002C0F0A" w14:paraId="02D08B93" w14:textId="72477F84" w:rsidTr="003D33EB">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F1F1F8"/>
            <w:textDirection w:val="tbRlV"/>
            <w:vAlign w:val="center"/>
          </w:tcPr>
          <w:p w14:paraId="667564E8"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lastRenderedPageBreak/>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F1F1F8"/>
          </w:tcPr>
          <w:p w14:paraId="40ACF378" w14:textId="43C2315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F1F1F8"/>
          </w:tcPr>
          <w:p w14:paraId="359F97A6" w14:textId="15BB5942"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●学習指導要領に示された「内容」と「内容の取扱い」に準拠していて，生徒の実態に即し</w:t>
            </w:r>
            <w:r w:rsidRPr="00DA0F64">
              <w:rPr>
                <w:rFonts w:ascii="ＭＳ 明朝" w:eastAsia="ＭＳ 明朝" w:hAnsi="ＭＳ 明朝" w:cs="Adobe Song Std L"/>
                <w:color w:val="000000" w:themeColor="text1"/>
                <w:szCs w:val="21"/>
              </w:rPr>
              <w:t>た</w:t>
            </w:r>
            <w:r w:rsidRPr="00DA0F64">
              <w:rPr>
                <w:rFonts w:ascii="ＭＳ 明朝" w:eastAsia="ＭＳ 明朝" w:hAnsi="ＭＳ 明朝" w:cs="Adobe Song Std L"/>
                <w:szCs w:val="21"/>
              </w:rPr>
              <w:t>必要かつ十分な内容が適切に組織・配列されている。</w:t>
            </w:r>
          </w:p>
          <w:p w14:paraId="46899418" w14:textId="4F5BF2BF"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●例・例題→問→問題（節末）→練習問題（章末）の順に，段階を追って一定レベルの問題が過不足なく取り上げられており，その分量も適切である。</w:t>
            </w:r>
          </w:p>
          <w:p w14:paraId="27033FED" w14:textId="157C64F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●本文の問の末尾に問題（節末）と練習問題（章末）へのリンクマークが付され，追加問題が扱いやすくなるように工夫されている。</w:t>
            </w:r>
          </w:p>
          <w:p w14:paraId="63FD2DBD" w14:textId="095C9C84" w:rsidR="003D33EB" w:rsidRPr="00DA0F64" w:rsidRDefault="003D33EB" w:rsidP="00C8422C">
            <w:pPr>
              <w:ind w:left="210" w:hangingChars="100" w:hanging="210"/>
              <w:rPr>
                <w:rFonts w:ascii="ＭＳ 明朝" w:eastAsia="ＭＳ 明朝" w:hAnsi="ＭＳ 明朝" w:cs="Adobe Song Std L" w:hint="eastAsia"/>
                <w:szCs w:val="21"/>
              </w:rPr>
            </w:pPr>
            <w:bookmarkStart w:id="0" w:name="_GoBack"/>
            <w:bookmarkEnd w:id="0"/>
            <w:r w:rsidRPr="00DA0F64">
              <w:rPr>
                <w:rFonts w:ascii="ＭＳ 明朝" w:eastAsia="ＭＳ 明朝" w:hAnsi="ＭＳ 明朝" w:cs="Adobe Song Std L"/>
                <w:szCs w:val="21"/>
              </w:rPr>
              <w:t>●巻末には，「問題を解くときに働く見方・考え方」や「演習問題」が設けられており，進んだ生徒への配慮もされている。</w:t>
            </w:r>
          </w:p>
        </w:tc>
      </w:tr>
      <w:tr w:rsidR="003D33EB" w:rsidRPr="002C0F0A" w14:paraId="0190FB83" w14:textId="134720AF" w:rsidTr="003D33EB">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3D33EB" w:rsidRDefault="003D33EB" w:rsidP="00DA0F64">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t>表記・表現及び指導に対する</w:t>
            </w:r>
          </w:p>
          <w:p w14:paraId="158726B3" w14:textId="156D81F6" w:rsidR="003D33EB" w:rsidRPr="002C0F0A" w:rsidRDefault="003D33EB" w:rsidP="00DA0F64">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03D0C82" w14:textId="588296E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●全編を通して本文の理解を助けるように，イラスト，写真，図が適切に用いられている。</w:t>
            </w:r>
          </w:p>
          <w:p w14:paraId="61159E08"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●必要に応じて色を使い，視覚的な内容理解ができるよう配慮されている。</w:t>
            </w:r>
          </w:p>
          <w:p w14:paraId="155C8BB3"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●用語・記号は統一されており，記述の仕方も適切である。</w:t>
            </w:r>
          </w:p>
          <w:p w14:paraId="1A680FFF" w14:textId="24E50AC5"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●ICT機器を利用すると効果的な箇所にDマークコンテンツが用意されており，生徒が柔軟に学習を進めることができるよう配慮されている。</w:t>
            </w:r>
          </w:p>
          <w:p w14:paraId="253A656E" w14:textId="01DAE709"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●章の扉では，章の学習内容が，身近な題材や数学の歴史などと関連付けて紹介されており，生徒の学習意欲を高めるよう工夫されている。</w:t>
            </w:r>
          </w:p>
          <w:p w14:paraId="4C5204DA" w14:textId="45DDF1FA"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●教科書を支援する指導書や周辺教材などが充実しており，指導しやすい教科書である。</w:t>
            </w:r>
          </w:p>
        </w:tc>
      </w:tr>
      <w:tr w:rsidR="003D33EB" w:rsidRPr="002C0F0A" w14:paraId="7813244F" w14:textId="4606CFD1" w:rsidTr="003D33EB">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F1F1F8"/>
            <w:textDirection w:val="tbRlV"/>
            <w:vAlign w:val="center"/>
          </w:tcPr>
          <w:p w14:paraId="320D7BAD" w14:textId="775F5E0C"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F1F1F8"/>
          </w:tcPr>
          <w:p w14:paraId="4A4E6055" w14:textId="6E98D60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F1F1F8"/>
          </w:tcPr>
          <w:p w14:paraId="15F73D69"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●活字はユニバーサルデザインで美しく，写真，挿し絵も鮮明で効果的である。</w:t>
            </w:r>
          </w:p>
          <w:p w14:paraId="48FBAC67"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●製本は堅牢で，開きやすい様式である。</w:t>
            </w:r>
          </w:p>
          <w:p w14:paraId="7A11BB4A" w14:textId="78AC7F9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●図やグラフの色使いなど，色覚特性への配慮を含むユニバーサルデザインとなっており，全ページにわたって配色を工夫するなど，だれもが見やすい紙面になっている。</w:t>
            </w:r>
          </w:p>
          <w:p w14:paraId="154AF7DA" w14:textId="213D9E8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●本文の用紙には再生紙と植物油インキを使用し，印刷業界団体が定めた環境配慮基準を満たす「グリーンプリンティング認定工場」で印刷するなど，地球環境や資源に及ぼす影響も考慮されている。</w:t>
            </w:r>
          </w:p>
        </w:tc>
      </w:tr>
      <w:tr w:rsidR="003D33EB"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156F780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教科目標達成に必要な学習事項・定番問題がコンパクトに網羅されていること，学習内容を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1ED7D53B"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4A591" w14:textId="77777777" w:rsidR="00622494" w:rsidRDefault="00622494" w:rsidP="00863C86">
      <w:r>
        <w:separator/>
      </w:r>
    </w:p>
  </w:endnote>
  <w:endnote w:type="continuationSeparator" w:id="0">
    <w:p w14:paraId="7E7C919B" w14:textId="77777777" w:rsidR="00622494" w:rsidRDefault="00622494" w:rsidP="0086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6516E" w14:textId="77777777" w:rsidR="00622494" w:rsidRDefault="00622494" w:rsidP="00863C86">
      <w:r>
        <w:separator/>
      </w:r>
    </w:p>
  </w:footnote>
  <w:footnote w:type="continuationSeparator" w:id="0">
    <w:p w14:paraId="67FD2462" w14:textId="77777777" w:rsidR="00622494" w:rsidRDefault="00622494" w:rsidP="00863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0A12C8"/>
    <w:rsid w:val="001274DE"/>
    <w:rsid w:val="001B2429"/>
    <w:rsid w:val="00227126"/>
    <w:rsid w:val="002C0F0A"/>
    <w:rsid w:val="003D33EB"/>
    <w:rsid w:val="004F3FDD"/>
    <w:rsid w:val="00501BD7"/>
    <w:rsid w:val="005617E3"/>
    <w:rsid w:val="00586158"/>
    <w:rsid w:val="005A0DA3"/>
    <w:rsid w:val="00614240"/>
    <w:rsid w:val="00622494"/>
    <w:rsid w:val="00720BBB"/>
    <w:rsid w:val="00775649"/>
    <w:rsid w:val="007B2E68"/>
    <w:rsid w:val="0080661C"/>
    <w:rsid w:val="00863C86"/>
    <w:rsid w:val="0091114A"/>
    <w:rsid w:val="00972E6C"/>
    <w:rsid w:val="00AA65DB"/>
    <w:rsid w:val="00B10B1F"/>
    <w:rsid w:val="00C8422C"/>
    <w:rsid w:val="00CF177D"/>
    <w:rsid w:val="00D0453D"/>
    <w:rsid w:val="00DA0F64"/>
    <w:rsid w:val="00E31D0C"/>
    <w:rsid w:val="00EA719B"/>
    <w:rsid w:val="00EE771B"/>
    <w:rsid w:val="00F869E1"/>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C86"/>
    <w:pPr>
      <w:tabs>
        <w:tab w:val="center" w:pos="4252"/>
        <w:tab w:val="right" w:pos="8504"/>
      </w:tabs>
      <w:snapToGrid w:val="0"/>
    </w:pPr>
  </w:style>
  <w:style w:type="character" w:customStyle="1" w:styleId="a4">
    <w:name w:val="ヘッダー (文字)"/>
    <w:basedOn w:val="a0"/>
    <w:link w:val="a3"/>
    <w:uiPriority w:val="99"/>
    <w:rsid w:val="00863C86"/>
  </w:style>
  <w:style w:type="paragraph" w:styleId="a5">
    <w:name w:val="footer"/>
    <w:basedOn w:val="a"/>
    <w:link w:val="a6"/>
    <w:uiPriority w:val="99"/>
    <w:unhideWhenUsed/>
    <w:rsid w:val="00863C86"/>
    <w:pPr>
      <w:tabs>
        <w:tab w:val="center" w:pos="4252"/>
        <w:tab w:val="right" w:pos="8504"/>
      </w:tabs>
      <w:snapToGrid w:val="0"/>
    </w:pPr>
  </w:style>
  <w:style w:type="character" w:customStyle="1" w:styleId="a6">
    <w:name w:val="フッター (文字)"/>
    <w:basedOn w:val="a0"/>
    <w:link w:val="a5"/>
    <w:uiPriority w:val="99"/>
    <w:rsid w:val="00863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0AC0-3AEA-4A32-BFE0-436A6CD7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2</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2022-03-24T10:01:00Z</dcterms:created>
  <dcterms:modified xsi:type="dcterms:W3CDTF">2022-03-29T11:09:00Z</dcterms:modified>
</cp:coreProperties>
</file>