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55E9C543"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B64EC5">
        <w:rPr>
          <w:rFonts w:ascii="ＭＳ Ｐゴシック" w:eastAsia="ＭＳ Ｐゴシック" w:hAnsi="ＭＳ Ｐゴシック" w:hint="eastAsia"/>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28D37EBF"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数学Ⅰ</w:t>
      </w:r>
      <w:r w:rsidR="00106A58">
        <w:rPr>
          <w:rFonts w:ascii="ＭＳ Ｐゴシック" w:eastAsia="ＭＳ Ｐゴシック" w:hAnsi="ＭＳ Ｐゴシック"/>
          <w:sz w:val="20"/>
          <w:szCs w:val="20"/>
        </w:rPr>
        <w:t>Standard</w:t>
      </w:r>
      <w:r w:rsidR="00A62EC4">
        <w:rPr>
          <w:rFonts w:ascii="ＭＳ Ｐゴシック" w:eastAsia="ＭＳ Ｐゴシック" w:hAnsi="ＭＳ Ｐゴシック" w:hint="eastAsia"/>
          <w:sz w:val="20"/>
          <w:szCs w:val="20"/>
        </w:rPr>
        <w:t>/</w:t>
      </w:r>
      <w:bookmarkStart w:id="0" w:name="_GoBack"/>
      <w:bookmarkEnd w:id="0"/>
      <w:r w:rsidRPr="007B2E68">
        <w:rPr>
          <w:rFonts w:ascii="ＭＳ Ｐゴシック" w:eastAsia="ＭＳ Ｐゴシック" w:hAnsi="ＭＳ Ｐゴシック"/>
          <w:sz w:val="20"/>
          <w:szCs w:val="20"/>
        </w:rPr>
        <w:t>2東書・数Ⅰ</w:t>
      </w:r>
      <w:r w:rsidR="00106A58">
        <w:rPr>
          <w:rFonts w:ascii="ＭＳ Ｐゴシック" w:eastAsia="ＭＳ Ｐゴシック" w:hAnsi="ＭＳ Ｐゴシック"/>
          <w:sz w:val="20"/>
          <w:szCs w:val="20"/>
        </w:rPr>
        <w:t>702</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4238D5">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4238D5">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5952896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●本文の問の末尾に節末問題と章末問題へのリンクマークが付され，追加問題が扱いやすくなるように工夫されている。</w:t>
            </w:r>
          </w:p>
          <w:p w14:paraId="1F0EAE26" w14:textId="197F691E"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●「１章　数と式」絶対値記号を含む方程式・不等式では，例1～3で場合分けをしないで解く方程式・不等式を扱った後，例4で場合分けをして解く方程式を扱うことで，段階的に学習できるように工夫されている。（p.48～49）</w:t>
            </w:r>
          </w:p>
          <w:p w14:paraId="3A758027" w14:textId="4F67D11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 xml:space="preserve">●「３章　</w:t>
            </w:r>
            <w:r w:rsidR="00B657E2">
              <w:rPr>
                <w:rFonts w:ascii="ＭＳ 明朝" w:eastAsia="ＭＳ 明朝" w:hAnsi="ＭＳ 明朝" w:cs="Adobe Song Std L" w:hint="eastAsia"/>
                <w:color w:val="000000" w:themeColor="text1"/>
                <w:szCs w:val="21"/>
              </w:rPr>
              <w:t>２</w:t>
            </w:r>
            <w:r w:rsidRPr="00C1378B">
              <w:rPr>
                <w:rFonts w:ascii="ＭＳ 明朝" w:eastAsia="ＭＳ 明朝" w:hAnsi="ＭＳ 明朝" w:cs="Adobe Song Std L"/>
                <w:color w:val="000000" w:themeColor="text1"/>
                <w:szCs w:val="21"/>
              </w:rPr>
              <w:t>次関数」２次関数の平方完成の変形では，例2は２次の項の係数が１で１次の項が偶数と奇数の場合，例3は２次の項の係数が１でない場合に分け，それぞれ右側に式変形のポイントも示して，丁寧に扱われている。（p.86～87）</w:t>
            </w:r>
          </w:p>
          <w:p w14:paraId="05CDAC40" w14:textId="77C14C3A" w:rsidR="005B3198"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●「４章　図形と計量」余弦定理の説明では，鋭角三角形の場合を考えた後に，2通りの鈍角三角形の場合も扱い，いずれの三角形でも余弦定理が成り立つことが分かりやすく記述され，統合的に学習できるように工夫されている。（p.160～161）</w:t>
            </w:r>
          </w:p>
          <w:p w14:paraId="4D2E8A12" w14:textId="28705397" w:rsidR="00B657E2" w:rsidRDefault="00B657E2" w:rsidP="00B657E2">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Pr="00893FFA">
              <w:rPr>
                <w:rFonts w:ascii="ＭＳ 明朝" w:eastAsia="ＭＳ 明朝" w:hAnsi="ＭＳ 明朝" w:cs="Adobe Song Std L"/>
                <w:color w:val="000000" w:themeColor="text1"/>
                <w:szCs w:val="21"/>
              </w:rPr>
              <w:t>「</w:t>
            </w:r>
            <w:r w:rsidRPr="00893FFA">
              <w:rPr>
                <w:rFonts w:ascii="ＭＳ 明朝" w:eastAsia="ＭＳ 明朝" w:hAnsi="ＭＳ 明朝" w:cs="Adobe Song Std L" w:hint="eastAsia"/>
                <w:color w:val="000000" w:themeColor="text1"/>
                <w:szCs w:val="21"/>
              </w:rPr>
              <w:t>５</w:t>
            </w:r>
            <w:r w:rsidRPr="00893FFA">
              <w:rPr>
                <w:rFonts w:ascii="ＭＳ 明朝" w:eastAsia="ＭＳ 明朝" w:hAnsi="ＭＳ 明朝" w:cs="Adobe Song Std L"/>
                <w:color w:val="000000" w:themeColor="text1"/>
                <w:szCs w:val="21"/>
              </w:rPr>
              <w:t xml:space="preserve">章　</w:t>
            </w:r>
            <w:r w:rsidRPr="00893FFA">
              <w:rPr>
                <w:rFonts w:ascii="ＭＳ 明朝" w:eastAsia="ＭＳ 明朝" w:hAnsi="ＭＳ 明朝" w:cs="Adobe Song Std L" w:hint="eastAsia"/>
                <w:color w:val="000000" w:themeColor="text1"/>
                <w:szCs w:val="21"/>
              </w:rPr>
              <w:t>データの分析</w:t>
            </w:r>
            <w:r w:rsidRPr="00893FFA">
              <w:rPr>
                <w:rFonts w:ascii="ＭＳ 明朝" w:eastAsia="ＭＳ 明朝" w:hAnsi="ＭＳ 明朝" w:cs="Adobe Song Std L"/>
                <w:color w:val="000000" w:themeColor="text1"/>
                <w:szCs w:val="21"/>
              </w:rPr>
              <w:t>」</w:t>
            </w:r>
            <w:r w:rsidR="00893FFA" w:rsidRPr="00893FFA">
              <w:rPr>
                <w:rFonts w:ascii="ＭＳ 明朝" w:eastAsia="ＭＳ 明朝" w:hAnsi="ＭＳ 明朝" w:cs="Adobe Song Std L" w:hint="eastAsia"/>
                <w:color w:val="000000" w:themeColor="text1"/>
                <w:szCs w:val="21"/>
              </w:rPr>
              <w:t>の</w:t>
            </w:r>
            <w:r w:rsidR="00893FFA">
              <w:rPr>
                <w:rFonts w:ascii="ＭＳ 明朝" w:eastAsia="ＭＳ 明朝" w:hAnsi="ＭＳ 明朝" w:cs="Adobe Song Std L" w:hint="eastAsia"/>
                <w:color w:val="000000" w:themeColor="text1"/>
                <w:szCs w:val="21"/>
              </w:rPr>
              <w:t>「２節　データの分析の応用」では，節電対策という具体的な日常の事象を題材に統計的探究プロセスを通して，データを表やグラフに整理して分析を行</w:t>
            </w:r>
            <w:r w:rsidR="00F07501">
              <w:rPr>
                <w:rFonts w:ascii="ＭＳ 明朝" w:eastAsia="ＭＳ 明朝" w:hAnsi="ＭＳ 明朝" w:cs="Adobe Song Std L" w:hint="eastAsia"/>
                <w:color w:val="000000" w:themeColor="text1"/>
                <w:szCs w:val="21"/>
              </w:rPr>
              <w:t>い</w:t>
            </w:r>
            <w:r w:rsidR="00893FFA">
              <w:rPr>
                <w:rFonts w:ascii="ＭＳ 明朝" w:eastAsia="ＭＳ 明朝" w:hAnsi="ＭＳ 明朝" w:cs="Adobe Song Std L" w:hint="eastAsia"/>
                <w:color w:val="000000" w:themeColor="text1"/>
                <w:szCs w:val="21"/>
              </w:rPr>
              <w:t>，分析の過程を振り返り，異なる分析方法について示唆するなどして，丁寧に扱われている。</w:t>
            </w:r>
            <w:r w:rsidRPr="00C1378B">
              <w:rPr>
                <w:rFonts w:ascii="ＭＳ 明朝" w:eastAsia="ＭＳ 明朝" w:hAnsi="ＭＳ 明朝" w:cs="Adobe Song Std L"/>
                <w:color w:val="000000" w:themeColor="text1"/>
                <w:szCs w:val="21"/>
              </w:rPr>
              <w:t>（p.1</w:t>
            </w:r>
            <w:r w:rsidR="00893FFA">
              <w:rPr>
                <w:rFonts w:ascii="ＭＳ 明朝" w:eastAsia="ＭＳ 明朝" w:hAnsi="ＭＳ 明朝" w:cs="Adobe Song Std L" w:hint="eastAsia"/>
                <w:color w:val="000000" w:themeColor="text1"/>
                <w:szCs w:val="21"/>
              </w:rPr>
              <w:t>90</w:t>
            </w:r>
            <w:r w:rsidRPr="00C1378B">
              <w:rPr>
                <w:rFonts w:ascii="ＭＳ 明朝" w:eastAsia="ＭＳ 明朝" w:hAnsi="ＭＳ 明朝" w:cs="Adobe Song Std L"/>
                <w:color w:val="000000" w:themeColor="text1"/>
                <w:szCs w:val="21"/>
              </w:rPr>
              <w:t>～1</w:t>
            </w:r>
            <w:r w:rsidR="00893FFA">
              <w:rPr>
                <w:rFonts w:ascii="ＭＳ 明朝" w:eastAsia="ＭＳ 明朝" w:hAnsi="ＭＳ 明朝" w:cs="Adobe Song Std L" w:hint="eastAsia"/>
                <w:color w:val="000000" w:themeColor="text1"/>
                <w:szCs w:val="21"/>
              </w:rPr>
              <w:t>9</w:t>
            </w:r>
            <w:r w:rsidRPr="00C1378B">
              <w:rPr>
                <w:rFonts w:ascii="ＭＳ 明朝" w:eastAsia="ＭＳ 明朝" w:hAnsi="ＭＳ 明朝" w:cs="Adobe Song Std L"/>
                <w:color w:val="000000" w:themeColor="text1"/>
                <w:szCs w:val="21"/>
              </w:rPr>
              <w:t>1）</w:t>
            </w:r>
          </w:p>
          <w:p w14:paraId="2B546624" w14:textId="0E19236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●課題学習は，学習内容と実生活との関連が十分に図られており，生徒の興味・関心を高める数学的活動を重視した課題が扱われている。</w:t>
            </w:r>
          </w:p>
          <w:p w14:paraId="25E720C2" w14:textId="5FDF3B7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●「発展的な学習内容」には「発展」マークが付けられ，本文と明確に区別されている。</w:t>
            </w:r>
          </w:p>
        </w:tc>
      </w:tr>
      <w:tr w:rsidR="005B3198" w:rsidRPr="002C0F0A" w14:paraId="02D08B93" w14:textId="72477F84"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668CE1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●考察→例・例題→問→節末問題→章末問題の順に，段階を追って一定レベルの問題が過不足なく取り上げられており，その分量も適切である。</w:t>
            </w:r>
          </w:p>
          <w:p w14:paraId="5010A294" w14:textId="45A8D56B"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活用しながら章の学習のきっかけとなる探究活動ができるコーナーがあり，関連した中学校の内容を振り返りつつ新たな課題に対して興味や関心を高めて取り組むことができように工夫がされている。</w:t>
            </w:r>
          </w:p>
          <w:p w14:paraId="2939D95D" w14:textId="55035992"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●巻末には，「中学校で学んだ基本事項」として，数学</w:t>
            </w:r>
            <w:r w:rsidR="00B657E2">
              <w:rPr>
                <w:rFonts w:ascii="ＭＳ 明朝" w:eastAsia="ＭＳ 明朝" w:hAnsi="ＭＳ 明朝" w:cs="Adobe Song Std L" w:hint="eastAsia"/>
                <w:color w:val="000000" w:themeColor="text1"/>
                <w:szCs w:val="21"/>
              </w:rPr>
              <w:t>Ⅰ</w:t>
            </w:r>
            <w:r w:rsidRPr="00C1378B">
              <w:rPr>
                <w:rFonts w:ascii="ＭＳ 明朝" w:eastAsia="ＭＳ 明朝" w:hAnsi="ＭＳ 明朝" w:cs="Adobe Song Std L"/>
                <w:color w:val="000000" w:themeColor="text1"/>
                <w:szCs w:val="21"/>
              </w:rPr>
              <w:t>に関連する中学校の学習内容がコンパクトにまとめられている。</w:t>
            </w:r>
          </w:p>
          <w:p w14:paraId="63FD2DBD" w14:textId="15FF660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●難易度の高い例題は，「チャレンジ」として掲載され，学習進度に合わせて扱えるように配慮されている。</w:t>
            </w:r>
          </w:p>
        </w:tc>
      </w:tr>
      <w:tr w:rsidR="005B3198" w:rsidRPr="002C0F0A" w14:paraId="0190FB83" w14:textId="134720AF" w:rsidTr="004238D5">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0163FEE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●節末問題に教科書本文の対応ページが付されており，振り返り学習ができるように工夫されている。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551426F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●ICT機器を利用すると効果的な箇所にDマークコンテンツが用意されており，生徒が柔軟に学習を進めることができるように配慮されている。</w:t>
            </w:r>
          </w:p>
        </w:tc>
      </w:tr>
      <w:tr w:rsidR="005B3198" w:rsidRPr="002C0F0A" w14:paraId="7813244F" w14:textId="4606CFD1"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C555" w14:textId="77777777" w:rsidR="0061539E" w:rsidRDefault="0061539E" w:rsidP="00E91010">
      <w:r>
        <w:separator/>
      </w:r>
    </w:p>
  </w:endnote>
  <w:endnote w:type="continuationSeparator" w:id="0">
    <w:p w14:paraId="05F1A76E" w14:textId="77777777" w:rsidR="0061539E" w:rsidRDefault="0061539E"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41E8B" w14:textId="77777777" w:rsidR="0061539E" w:rsidRDefault="0061539E" w:rsidP="00E91010">
      <w:r>
        <w:separator/>
      </w:r>
    </w:p>
  </w:footnote>
  <w:footnote w:type="continuationSeparator" w:id="0">
    <w:p w14:paraId="18EB7F11" w14:textId="77777777" w:rsidR="0061539E" w:rsidRDefault="0061539E"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06A58"/>
    <w:rsid w:val="00110BE9"/>
    <w:rsid w:val="001873DC"/>
    <w:rsid w:val="001B298E"/>
    <w:rsid w:val="0029523B"/>
    <w:rsid w:val="002C0F0A"/>
    <w:rsid w:val="00382D2E"/>
    <w:rsid w:val="00387452"/>
    <w:rsid w:val="003B6DE9"/>
    <w:rsid w:val="003D33EB"/>
    <w:rsid w:val="004238D5"/>
    <w:rsid w:val="00425FE2"/>
    <w:rsid w:val="005B3198"/>
    <w:rsid w:val="0061539E"/>
    <w:rsid w:val="006275DE"/>
    <w:rsid w:val="00666163"/>
    <w:rsid w:val="00684BCD"/>
    <w:rsid w:val="0078029B"/>
    <w:rsid w:val="007B2E68"/>
    <w:rsid w:val="007F5B74"/>
    <w:rsid w:val="00893FFA"/>
    <w:rsid w:val="00A5537A"/>
    <w:rsid w:val="00A62EC4"/>
    <w:rsid w:val="00B64EC5"/>
    <w:rsid w:val="00B657E2"/>
    <w:rsid w:val="00C1378B"/>
    <w:rsid w:val="00D0453D"/>
    <w:rsid w:val="00DA0F64"/>
    <w:rsid w:val="00E859F1"/>
    <w:rsid w:val="00E91010"/>
    <w:rsid w:val="00F07501"/>
    <w:rsid w:val="00FB106A"/>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2022-03-31T11:47:00Z</cp:lastPrinted>
  <dcterms:created xsi:type="dcterms:W3CDTF">2022-03-22T05:42:00Z</dcterms:created>
  <dcterms:modified xsi:type="dcterms:W3CDTF">2022-03-31T11:54:00Z</dcterms:modified>
</cp:coreProperties>
</file>