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292" w14:textId="07941C91"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令和4年度用内容解説資料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57275684"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w:t>
      </w:r>
      <w:r w:rsidR="00106A58">
        <w:rPr>
          <w:rFonts w:ascii="ＭＳ Ｐゴシック" w:eastAsia="ＭＳ Ｐゴシック" w:hAnsi="ＭＳ Ｐゴシック"/>
          <w:sz w:val="20"/>
          <w:szCs w:val="20"/>
        </w:rPr>
        <w:t>702</w:t>
      </w:r>
      <w:r w:rsidRPr="007B2E68">
        <w:rPr>
          <w:rFonts w:ascii="ＭＳ Ｐゴシック" w:eastAsia="ＭＳ Ｐゴシック" w:hAnsi="ＭＳ Ｐゴシック"/>
          <w:sz w:val="20"/>
          <w:szCs w:val="20"/>
        </w:rPr>
        <w:t>，</w:t>
      </w:r>
      <w:r w:rsidR="00263AA0">
        <w:rPr>
          <w:rFonts w:ascii="ＭＳ Ｐゴシック" w:eastAsia="ＭＳ Ｐゴシック" w:hAnsi="ＭＳ Ｐゴシック"/>
          <w:sz w:val="20"/>
          <w:szCs w:val="20"/>
        </w:rPr>
        <w:t>数学Ａ</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2東書・数A</w:t>
      </w:r>
      <w:r w:rsidR="00106A58">
        <w:rPr>
          <w:rFonts w:ascii="ＭＳ Ｐゴシック" w:eastAsia="ＭＳ Ｐゴシック" w:hAnsi="ＭＳ Ｐゴシック"/>
          <w:sz w:val="20"/>
          <w:szCs w:val="20"/>
        </w:rPr>
        <w:t>70</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92A8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263AA0"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6DFBD48" w14:textId="612C5BA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206D2091" w14:textId="694CB7A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●各項の冒頭に「ねらい」，例の前には何のための問題なのかを明記する一文を設け，目的意識をもって学習に取り組めるように配慮されている。</w:t>
            </w:r>
          </w:p>
          <w:p w14:paraId="15871100" w14:textId="67F0BE2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●各ページ右段に，その問題を解くために必要な公式，知識，注意すべき内容を取り上げた「側注」を設け，基礎的・基本的な知識や技能が確実に定着するように工夫されている。</w:t>
            </w:r>
          </w:p>
          <w:p w14:paraId="79A3FAEC" w14:textId="0FBEF16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で扱っている内容は基本的なものであり，基礎・基本の徹底が図られている。また，節末ごとに定着確認のための問題を設けている。さらに，本文の問の側注部分に節末問題へのリンクマークが付され，追加問題が扱いやすくなるように工夫されている。</w:t>
            </w:r>
          </w:p>
          <w:p w14:paraId="22DE2C58" w14:textId="1029581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●活動的に取り組む問題をActとして設け，新規内容を理解する場面や，学習した知識・技能を利用する場面に，生徒が能動的に思考・判断・表現する場を設けている。</w:t>
            </w:r>
          </w:p>
          <w:p w14:paraId="4057E224" w14:textId="5DE90EA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●「因数分解のたすきがけの方法」では，3パターンの失敗例を取り上げ，注意を喚起するように編集されている（数学</w:t>
            </w:r>
            <w:r w:rsidRPr="00263AA0">
              <w:rPr>
                <w:rFonts w:ascii="ＭＳ 明朝" w:eastAsia="ＭＳ 明朝" w:hAnsi="ＭＳ 明朝" w:cs="A-OTF 中ゴシックBBB Pro Medium"/>
                <w:color w:val="000000" w:themeColor="text1"/>
                <w:szCs w:val="21"/>
              </w:rPr>
              <w:t>Ⅰ</w:t>
            </w:r>
            <w:r>
              <w:rPr>
                <w:rFonts w:ascii="ＭＳ 明朝" w:eastAsia="ＭＳ 明朝" w:hAnsi="ＭＳ 明朝" w:cs="A-OTF 中ゴシックBBB Pro Medium" w:hint="eastAsia"/>
                <w:color w:val="000000" w:themeColor="text1"/>
                <w:szCs w:val="21"/>
              </w:rPr>
              <w:t xml:space="preserve"> </w:t>
            </w:r>
            <w:r w:rsidRPr="00263AA0">
              <w:rPr>
                <w:rFonts w:ascii="ＭＳ 明朝" w:eastAsia="ＭＳ 明朝" w:hAnsi="ＭＳ 明朝" w:cs="Adobe Song Std L"/>
                <w:color w:val="000000" w:themeColor="text1"/>
                <w:szCs w:val="21"/>
              </w:rPr>
              <w:t>p.21）。</w:t>
            </w:r>
          </w:p>
          <w:p w14:paraId="068B656F" w14:textId="50E3A49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●「三角比の相互関係」では，三平方の定理による解法も，本文で丁寧に扱われている（数学</w:t>
            </w:r>
            <w:r w:rsidRPr="00263AA0">
              <w:rPr>
                <w:rFonts w:ascii="ＭＳ 明朝" w:eastAsia="ＭＳ 明朝" w:hAnsi="ＭＳ 明朝" w:cs="A-OTF 中ゴシックBBB Pro Medium"/>
                <w:color w:val="000000" w:themeColor="text1"/>
                <w:szCs w:val="21"/>
              </w:rPr>
              <w:t>Ⅰ</w:t>
            </w:r>
            <w:r>
              <w:rPr>
                <w:rFonts w:ascii="ＭＳ 明朝" w:eastAsia="ＭＳ 明朝" w:hAnsi="ＭＳ 明朝" w:cs="A-OTF 中ゴシックBBB Pro Medium" w:hint="eastAsia"/>
                <w:color w:val="000000" w:themeColor="text1"/>
                <w:szCs w:val="21"/>
              </w:rPr>
              <w:t xml:space="preserve"> </w:t>
            </w:r>
            <w:r w:rsidRPr="00263AA0">
              <w:rPr>
                <w:rFonts w:ascii="ＭＳ 明朝" w:eastAsia="ＭＳ 明朝" w:hAnsi="ＭＳ 明朝" w:cs="Adobe Song Std L"/>
                <w:color w:val="000000" w:themeColor="text1"/>
                <w:szCs w:val="21"/>
              </w:rPr>
              <w:t>p.107-108）。</w:t>
            </w:r>
          </w:p>
          <w:p w14:paraId="3826F021" w14:textId="745152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●「場合の数と確率」では，図を多用するなど，理解を助ける配慮がされている。（</w:t>
            </w:r>
            <w:r>
              <w:rPr>
                <w:rFonts w:ascii="ＭＳ 明朝" w:eastAsia="ＭＳ 明朝" w:hAnsi="ＭＳ 明朝" w:cs="Adobe Song Std L"/>
                <w:color w:val="000000" w:themeColor="text1"/>
                <w:szCs w:val="21"/>
              </w:rPr>
              <w:t>数学Ａ</w:t>
            </w:r>
            <w:r w:rsidRPr="00263AA0">
              <w:rPr>
                <w:rFonts w:ascii="ＭＳ 明朝" w:eastAsia="ＭＳ 明朝" w:hAnsi="ＭＳ 明朝" w:cs="Adobe Song Std L"/>
                <w:color w:val="000000" w:themeColor="text1"/>
                <w:szCs w:val="21"/>
              </w:rPr>
              <w:t xml:space="preserve"> p.17，20-24，29-30</w:t>
            </w:r>
            <w:r>
              <w:rPr>
                <w:rFonts w:ascii="ＭＳ 明朝" w:eastAsia="ＭＳ 明朝" w:hAnsi="ＭＳ 明朝" w:cs="Adobe Song Std L" w:hint="eastAsia"/>
                <w:color w:val="000000" w:themeColor="text1"/>
                <w:szCs w:val="21"/>
              </w:rPr>
              <w:t>，</w:t>
            </w:r>
            <w:r w:rsidRPr="00263AA0">
              <w:rPr>
                <w:rFonts w:ascii="ＭＳ 明朝" w:eastAsia="ＭＳ 明朝" w:hAnsi="ＭＳ 明朝" w:cs="Adobe Song Std L"/>
                <w:color w:val="000000" w:themeColor="text1"/>
                <w:szCs w:val="21"/>
              </w:rPr>
              <w:t>32-37，40-41）</w:t>
            </w:r>
          </w:p>
          <w:p w14:paraId="48D6E20D" w14:textId="11F75B3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●「図形の性質」では，具体物を扱うことで，理解を助ける配慮がされている。（</w:t>
            </w:r>
            <w:r>
              <w:rPr>
                <w:rFonts w:ascii="ＭＳ 明朝" w:eastAsia="ＭＳ 明朝" w:hAnsi="ＭＳ 明朝" w:cs="Adobe Song Std L"/>
                <w:color w:val="000000" w:themeColor="text1"/>
                <w:szCs w:val="21"/>
              </w:rPr>
              <w:t>数学Ａ</w:t>
            </w:r>
            <w:r w:rsidRPr="00263AA0">
              <w:rPr>
                <w:rFonts w:ascii="ＭＳ 明朝" w:eastAsia="ＭＳ 明朝" w:hAnsi="ＭＳ 明朝" w:cs="Adobe Song Std L"/>
                <w:color w:val="000000" w:themeColor="text1"/>
                <w:szCs w:val="21"/>
              </w:rPr>
              <w:t xml:space="preserve"> p.58-59，65，87-88）</w:t>
            </w:r>
          </w:p>
          <w:p w14:paraId="17197FF1" w14:textId="485F123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●「数学と人間の活動」は，巻末に綴じられた厚紙を使った作業を通して理解できるように工夫されている（</w:t>
            </w:r>
            <w:r>
              <w:rPr>
                <w:rFonts w:ascii="ＭＳ 明朝" w:eastAsia="ＭＳ 明朝" w:hAnsi="ＭＳ 明朝" w:cs="Adobe Song Std L"/>
                <w:color w:val="000000" w:themeColor="text1"/>
                <w:szCs w:val="21"/>
              </w:rPr>
              <w:t>数学Ａ</w:t>
            </w:r>
            <w:r>
              <w:rPr>
                <w:rFonts w:ascii="ＭＳ 明朝" w:eastAsia="ＭＳ 明朝" w:hAnsi="ＭＳ 明朝" w:cs="Adobe Song Std L" w:hint="eastAsia"/>
                <w:color w:val="000000" w:themeColor="text1"/>
                <w:szCs w:val="21"/>
              </w:rPr>
              <w:t xml:space="preserve"> </w:t>
            </w:r>
            <w:r w:rsidRPr="00263AA0">
              <w:rPr>
                <w:rFonts w:ascii="ＭＳ 明朝" w:eastAsia="ＭＳ 明朝" w:hAnsi="ＭＳ 明朝" w:cs="Adobe Song Std L"/>
                <w:color w:val="000000" w:themeColor="text1"/>
                <w:szCs w:val="21"/>
              </w:rPr>
              <w:t>p.119-120，137，139）。</w:t>
            </w:r>
          </w:p>
          <w:p w14:paraId="25E720C2" w14:textId="47F0047D"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●課題学習は，学習内容と実生活との関連が十分に図られており，生徒の興味・関心を高める数学的活動を重視した課題が扱われている（数学</w:t>
            </w:r>
            <w:r w:rsidRPr="00263AA0">
              <w:rPr>
                <w:rFonts w:ascii="ＭＳ 明朝" w:eastAsia="ＭＳ 明朝" w:hAnsi="ＭＳ 明朝" w:cs="A-OTF 中ゴシックBBB Pro Medium"/>
                <w:color w:val="000000" w:themeColor="text1"/>
                <w:szCs w:val="21"/>
              </w:rPr>
              <w:t>Ⅰ</w:t>
            </w:r>
            <w:r>
              <w:rPr>
                <w:rFonts w:ascii="ＭＳ 明朝" w:eastAsia="ＭＳ 明朝" w:hAnsi="ＭＳ 明朝" w:cs="A-OTF 中ゴシックBBB Pro Medium" w:hint="eastAsia"/>
                <w:color w:val="000000" w:themeColor="text1"/>
                <w:szCs w:val="21"/>
              </w:rPr>
              <w:t xml:space="preserve"> </w:t>
            </w:r>
            <w:r w:rsidRPr="00263AA0">
              <w:rPr>
                <w:rFonts w:ascii="ＭＳ 明朝" w:eastAsia="ＭＳ 明朝" w:hAnsi="ＭＳ 明朝" w:cs="Adobe Song Std L"/>
                <w:color w:val="000000" w:themeColor="text1"/>
                <w:szCs w:val="21"/>
              </w:rPr>
              <w:t>p.51-52，92，124，163）。</w:t>
            </w:r>
          </w:p>
        </w:tc>
      </w:tr>
      <w:tr w:rsidR="00263AA0" w:rsidRPr="002C0F0A" w14:paraId="02D08B93" w14:textId="72477F84"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50474A58" w14:textId="71CE88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59FBFB18" w14:textId="48B6F7F0"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●章のはじめに，既習事項を確認し，必要に応じて復習できるコーナーがあり，生徒がつまずくことなく章の学習に入ることができるよう工夫されている。</w:t>
            </w:r>
          </w:p>
          <w:p w14:paraId="32DC9B7D" w14:textId="2AB149F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●例・例題の直後の問は，例・例題と同じタイプで数値が変わった程度の問題とし，節末問題も，対応する問の類題とすることで，生徒が問題演習に取り組みやすくなるよう，配慮がされている。</w:t>
            </w:r>
          </w:p>
          <w:p w14:paraId="5445E718" w14:textId="76312819"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●やや高度な内容は「Challenge」とし，生徒や学校の実態に応じて臨機応変な取り扱いができるよう編集されている（数学</w:t>
            </w:r>
            <w:r w:rsidRPr="00263AA0">
              <w:rPr>
                <w:rFonts w:ascii="ＭＳ 明朝" w:eastAsia="ＭＳ 明朝" w:hAnsi="ＭＳ 明朝" w:cs="A-OTF リュウミン Pro L-KL"/>
                <w:color w:val="000000" w:themeColor="text1"/>
                <w:szCs w:val="21"/>
              </w:rPr>
              <w:t xml:space="preserve">Ⅰ </w:t>
            </w:r>
            <w:r w:rsidRPr="00263AA0">
              <w:rPr>
                <w:rFonts w:ascii="ＭＳ 明朝" w:eastAsia="ＭＳ 明朝" w:hAnsi="ＭＳ 明朝" w:cs="Adobe Song Std L"/>
                <w:color w:val="000000" w:themeColor="text1"/>
                <w:szCs w:val="21"/>
              </w:rPr>
              <w:t>p.49，78，122，141，</w:t>
            </w:r>
            <w:r>
              <w:rPr>
                <w:rFonts w:ascii="ＭＳ 明朝" w:eastAsia="ＭＳ 明朝" w:hAnsi="ＭＳ 明朝" w:cs="Adobe Song Std L"/>
                <w:color w:val="000000" w:themeColor="text1"/>
                <w:szCs w:val="21"/>
              </w:rPr>
              <w:t>数学Ａ</w:t>
            </w:r>
            <w:r w:rsidRPr="00263AA0">
              <w:rPr>
                <w:rFonts w:ascii="ＭＳ 明朝" w:eastAsia="ＭＳ 明朝" w:hAnsi="ＭＳ 明朝" w:cs="Adobe Song Std L"/>
                <w:color w:val="000000" w:themeColor="text1"/>
                <w:szCs w:val="21"/>
              </w:rPr>
              <w:t xml:space="preserve"> p.30，47，69，92，102，105）。</w:t>
            </w:r>
          </w:p>
          <w:p w14:paraId="63FD2DBD" w14:textId="482AF87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●数学</w:t>
            </w:r>
            <w:r w:rsidRPr="00263AA0">
              <w:rPr>
                <w:rFonts w:ascii="ＭＳ 明朝" w:eastAsia="ＭＳ 明朝" w:hAnsi="ＭＳ 明朝" w:cs="A-OTF リュウミン Pro L-KL"/>
                <w:color w:val="000000" w:themeColor="text1"/>
                <w:szCs w:val="21"/>
              </w:rPr>
              <w:t>Ⅰ</w:t>
            </w:r>
            <w:r w:rsidRPr="00263AA0">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数学Ａ</w:t>
            </w:r>
            <w:r w:rsidRPr="00263AA0">
              <w:rPr>
                <w:rFonts w:ascii="ＭＳ 明朝" w:eastAsia="ＭＳ 明朝" w:hAnsi="ＭＳ 明朝" w:cs="Adobe Song Std L"/>
                <w:color w:val="000000" w:themeColor="text1"/>
                <w:szCs w:val="21"/>
              </w:rPr>
              <w:t>の巻末には，学習内容に関連する中学校での学習内容がコンパクトにまとめられている。</w:t>
            </w:r>
          </w:p>
        </w:tc>
      </w:tr>
      <w:tr w:rsidR="00263AA0"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263AA0" w:rsidRDefault="00263AA0" w:rsidP="00A576FD">
            <w:pPr>
              <w:adjustRightInd w:val="0"/>
              <w:snapToGrid w:val="0"/>
              <w:ind w:leftChars="1000" w:left="2100"/>
              <w:jc w:val="left"/>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263AA0" w:rsidRPr="002C0F0A" w:rsidRDefault="00263AA0" w:rsidP="00A576FD">
            <w:pPr>
              <w:adjustRightInd w:val="0"/>
              <w:snapToGrid w:val="0"/>
              <w:ind w:leftChars="1000" w:left="210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33F0988E" w14:textId="368B075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●全編を通して本文の理解を助けるように，図，イラスト，写真が多用されている。</w:t>
            </w:r>
          </w:p>
          <w:p w14:paraId="30195EF9" w14:textId="0EA60E32"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●色を適切に使い，視覚的に内容理解をサポートするように配慮されている。</w:t>
            </w:r>
          </w:p>
          <w:p w14:paraId="585D32B3" w14:textId="137B49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●用語・記号は統一されており，記述の仕方も適切である。</w:t>
            </w:r>
          </w:p>
          <w:p w14:paraId="0A6ED85E" w14:textId="0F94F67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●ICT機器を利用すると効果的な箇所にDマークをつけ，デジタルコンテンツを用意し，生徒がインターネットを介して利用できるようにしている。</w:t>
            </w:r>
          </w:p>
          <w:p w14:paraId="596F51BC" w14:textId="34238AD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扉で，章の内容に関連する物事を写真と共に紹介するなど，学習内容に関して興味・関心を高めるよう工夫されている。また，章末では，章扉と関連した章の内容に関連する話題について，その章で学んだことを活用して説明することで，学習した成果を感じられるよう工夫されている。</w:t>
            </w:r>
          </w:p>
          <w:p w14:paraId="1E9F6CFF" w14:textId="2761D7E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●各節末の「Training」では，問題の右横に関連する問題のページと例題番号などを明記し，解けなかったときには本文にフィードバックできるように配慮されている。</w:t>
            </w:r>
          </w:p>
          <w:p w14:paraId="652521FD" w14:textId="2A31583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●巻末解答には，本文中の問と節末，章末，巻末の問題に対する解答がすべて掲載されており，自学自習できるよう配慮が行き届いている。</w:t>
            </w:r>
          </w:p>
          <w:p w14:paraId="4C5204DA" w14:textId="73FFD8C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●教科書を支援する指導書や周辺教材などが充実しており，指導しやすい教科書である。</w:t>
            </w:r>
          </w:p>
        </w:tc>
      </w:tr>
      <w:tr w:rsidR="00263AA0" w:rsidRPr="002C0F0A" w14:paraId="7813244F" w14:textId="4606CFD1"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662F6703" w14:textId="6F51C6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●B5変形判で，大判（B5判）教科書のような見やすさや分かりやすさと，持ちやすいなど使い勝手のよさの両立がはかられている。</w:t>
            </w:r>
          </w:p>
          <w:p w14:paraId="438FD227" w14:textId="2F2F1F1A"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●活字は鮮明で読みやすく，写真，イラストなども鮮明で効果的である。</w:t>
            </w:r>
          </w:p>
          <w:p w14:paraId="7F7E09DD" w14:textId="3DC8F5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●製本は堅牢で，開きやすい様式である。</w:t>
            </w:r>
          </w:p>
          <w:p w14:paraId="214D727A" w14:textId="32610C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●図やグラフの色使いなど，色覚特性への配慮を含むユニバーサルデザインとなっており，全ページにわたって配色を工夫するなど，誰もが見やすい紙面になっている。</w:t>
            </w:r>
          </w:p>
          <w:p w14:paraId="154AF7DA" w14:textId="2674F7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●本文の用紙には再生紙と植物油インキを使用し，印刷業界団体が定めた環境配慮基準を満たす「グリーンプリンティング認定工場」で印刷するなど，地球環境や資源に及ぼす影響に考慮されている。</w:t>
            </w:r>
          </w:p>
        </w:tc>
      </w:tr>
      <w:tr w:rsidR="00263AA0"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581332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Pr="00C3154A">
              <w:rPr>
                <w:rFonts w:ascii="ＭＳ 明朝" w:eastAsia="ＭＳ 明朝" w:hAnsi="ＭＳ 明朝" w:cs="Adobe Song Std L"/>
                <w:szCs w:val="21"/>
              </w:rPr>
              <w:t>必要事項をコンパクトにまとめ，変形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0AFA1106"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E9FE" w14:textId="77777777" w:rsidR="00E17E31" w:rsidRDefault="00E17E31" w:rsidP="00263AA0">
      <w:r>
        <w:separator/>
      </w:r>
    </w:p>
  </w:endnote>
  <w:endnote w:type="continuationSeparator" w:id="0">
    <w:p w14:paraId="27252465" w14:textId="77777777" w:rsidR="00E17E31" w:rsidRDefault="00E17E31" w:rsidP="0026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20B0300000000000000"/>
    <w:charset w:val="80"/>
    <w:family w:val="swiss"/>
    <w:notTrueType/>
    <w:pitch w:val="variable"/>
    <w:sig w:usb0="A00002FF" w:usb1="68C7FEFF" w:usb2="00000012" w:usb3="00000000" w:csb0="00020005" w:csb1="00000000"/>
  </w:font>
  <w:font w:name="Adobe Song Std L">
    <w:altName w:val="Adobe Song Std L"/>
    <w:panose1 w:val="020203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A-OTF 中ゴシックBBB Pro Medium">
    <w:altName w:val="A-OTF 中ゴシックBBB Pro Medium"/>
    <w:panose1 w:val="020B0400000000000000"/>
    <w:charset w:val="80"/>
    <w:family w:val="swiss"/>
    <w:notTrueType/>
    <w:pitch w:val="variable"/>
    <w:sig w:usb0="820002FF" w:usb1="68C7FEFF" w:usb2="00000012" w:usb3="00000000" w:csb0="00020005" w:csb1="00000000"/>
  </w:font>
  <w:font w:name="A-OTF リュウミン Pro L-KL">
    <w:panose1 w:val="02020300000000000000"/>
    <w:charset w:val="80"/>
    <w:family w:val="roman"/>
    <w:notTrueType/>
    <w:pitch w:val="variable"/>
    <w:sig w:usb0="82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BFB5" w14:textId="77777777" w:rsidR="00E17E31" w:rsidRDefault="00E17E31" w:rsidP="00263AA0">
      <w:r>
        <w:separator/>
      </w:r>
    </w:p>
  </w:footnote>
  <w:footnote w:type="continuationSeparator" w:id="0">
    <w:p w14:paraId="0A91E2D4" w14:textId="77777777" w:rsidR="00E17E31" w:rsidRDefault="00E17E31" w:rsidP="0026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0A"/>
    <w:rsid w:val="00106A58"/>
    <w:rsid w:val="00263AA0"/>
    <w:rsid w:val="002C0F0A"/>
    <w:rsid w:val="003D33EB"/>
    <w:rsid w:val="00592A8E"/>
    <w:rsid w:val="005B3198"/>
    <w:rsid w:val="006C7DB4"/>
    <w:rsid w:val="007B2E68"/>
    <w:rsid w:val="00A576FD"/>
    <w:rsid w:val="00C1378B"/>
    <w:rsid w:val="00C3154A"/>
    <w:rsid w:val="00D0453D"/>
    <w:rsid w:val="00DA0F64"/>
    <w:rsid w:val="00E17E31"/>
    <w:rsid w:val="00F177F9"/>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A0"/>
    <w:pPr>
      <w:tabs>
        <w:tab w:val="center" w:pos="4252"/>
        <w:tab w:val="right" w:pos="8504"/>
      </w:tabs>
      <w:snapToGrid w:val="0"/>
    </w:pPr>
  </w:style>
  <w:style w:type="character" w:customStyle="1" w:styleId="a4">
    <w:name w:val="ヘッダー (文字)"/>
    <w:basedOn w:val="a0"/>
    <w:link w:val="a3"/>
    <w:uiPriority w:val="99"/>
    <w:rsid w:val="00263AA0"/>
  </w:style>
  <w:style w:type="paragraph" w:styleId="a5">
    <w:name w:val="footer"/>
    <w:basedOn w:val="a"/>
    <w:link w:val="a6"/>
    <w:uiPriority w:val="99"/>
    <w:unhideWhenUsed/>
    <w:rsid w:val="00263AA0"/>
    <w:pPr>
      <w:tabs>
        <w:tab w:val="center" w:pos="4252"/>
        <w:tab w:val="right" w:pos="8504"/>
      </w:tabs>
      <w:snapToGrid w:val="0"/>
    </w:pPr>
  </w:style>
  <w:style w:type="character" w:customStyle="1" w:styleId="a6">
    <w:name w:val="フッター (文字)"/>
    <w:basedOn w:val="a0"/>
    <w:link w:val="a5"/>
    <w:uiPriority w:val="99"/>
    <w:rsid w:val="0026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提橋 正一</dc:creator>
  <cp:keywords/>
  <dc:description/>
  <cp:lastModifiedBy>提橋 正一</cp:lastModifiedBy>
  <cp:revision>5</cp:revision>
  <dcterms:created xsi:type="dcterms:W3CDTF">2021-04-30T15:50:00Z</dcterms:created>
  <dcterms:modified xsi:type="dcterms:W3CDTF">2021-04-30T16:28:00Z</dcterms:modified>
</cp:coreProperties>
</file>