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BD292" w14:textId="07941C91" w:rsidR="00FC02B1" w:rsidRPr="007B2E68" w:rsidRDefault="00FC02B1" w:rsidP="00FC02B1">
      <w:pPr>
        <w:jc w:val="right"/>
        <w:rPr>
          <w:rFonts w:ascii="ＭＳ Ｐゴシック" w:eastAsia="ＭＳ Ｐゴシック" w:hAnsi="ＭＳ Ｐゴシック"/>
          <w:sz w:val="18"/>
          <w:szCs w:val="18"/>
          <w:bdr w:val="single" w:sz="4" w:space="0" w:color="auto"/>
        </w:rPr>
      </w:pPr>
      <w:r w:rsidRPr="007B2E68">
        <w:rPr>
          <w:rFonts w:ascii="ＭＳ Ｐゴシック" w:eastAsia="ＭＳ Ｐゴシック" w:hAnsi="ＭＳ Ｐゴシック" w:hint="eastAsia"/>
          <w:sz w:val="18"/>
          <w:szCs w:val="18"/>
          <w:bdr w:val="single" w:sz="4" w:space="0" w:color="auto"/>
        </w:rPr>
        <w:t>令和4年度用内容解説資料</w:t>
      </w:r>
    </w:p>
    <w:p w14:paraId="73D68E5E" w14:textId="6C672BE5" w:rsidR="002C0F0A" w:rsidRPr="003D33EB" w:rsidRDefault="00DA0F64" w:rsidP="003D33EB">
      <w:pPr>
        <w:adjustRightInd w:val="0"/>
        <w:snapToGrid w:val="0"/>
        <w:rPr>
          <w:rFonts w:ascii="ＭＳ Ｐゴシック" w:eastAsia="ＭＳ Ｐゴシック" w:hAnsi="ＭＳ Ｐゴシック"/>
          <w:sz w:val="28"/>
          <w:szCs w:val="28"/>
        </w:rPr>
      </w:pPr>
      <w:r w:rsidRPr="003D33EB">
        <w:rPr>
          <w:rFonts w:ascii="ＭＳ Ｐゴシック" w:eastAsia="ＭＳ Ｐゴシック" w:hAnsi="ＭＳ Ｐゴシック" w:hint="eastAsia"/>
          <w:sz w:val="28"/>
          <w:szCs w:val="28"/>
        </w:rPr>
        <w:t>◆</w:t>
      </w:r>
      <w:r w:rsidR="002C0F0A" w:rsidRPr="003D33EB">
        <w:rPr>
          <w:rFonts w:ascii="ＭＳ Ｐゴシック" w:eastAsia="ＭＳ Ｐゴシック" w:hAnsi="ＭＳ Ｐゴシック" w:hint="eastAsia"/>
          <w:sz w:val="28"/>
          <w:szCs w:val="28"/>
        </w:rPr>
        <w:t>ご検討の観点と内容の特色</w:t>
      </w:r>
      <w:r w:rsidRPr="003D33EB">
        <w:rPr>
          <w:rFonts w:ascii="ＭＳ Ｐゴシック" w:eastAsia="ＭＳ Ｐゴシック" w:hAnsi="ＭＳ Ｐゴシック" w:hint="eastAsia"/>
          <w:sz w:val="28"/>
          <w:szCs w:val="28"/>
        </w:rPr>
        <w:t>◆</w:t>
      </w:r>
    </w:p>
    <w:p w14:paraId="3E5F1A36" w14:textId="616C7D3E" w:rsidR="002C0F0A" w:rsidRPr="007B2E68" w:rsidRDefault="00AB2889" w:rsidP="002C0F0A">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新</w:t>
      </w:r>
      <w:r w:rsidR="002C0F0A" w:rsidRPr="007B2E68">
        <w:rPr>
          <w:rFonts w:ascii="ＭＳ Ｐゴシック" w:eastAsia="ＭＳ Ｐゴシック" w:hAnsi="ＭＳ Ｐゴシック" w:hint="eastAsia"/>
          <w:sz w:val="20"/>
          <w:szCs w:val="20"/>
        </w:rPr>
        <w:t>数学Ⅰ</w:t>
      </w:r>
      <w:r w:rsidR="007B2E68" w:rsidRPr="007B2E68">
        <w:rPr>
          <w:rFonts w:ascii="ＭＳ Ｐゴシック" w:eastAsia="ＭＳ Ｐゴシック" w:hAnsi="ＭＳ Ｐゴシック" w:hint="eastAsia"/>
          <w:sz w:val="20"/>
          <w:szCs w:val="20"/>
        </w:rPr>
        <w:t>/</w:t>
      </w:r>
      <w:r w:rsidR="002C0F0A" w:rsidRPr="007B2E68">
        <w:rPr>
          <w:rFonts w:ascii="ＭＳ Ｐゴシック" w:eastAsia="ＭＳ Ｐゴシック" w:hAnsi="ＭＳ Ｐゴシック"/>
          <w:sz w:val="20"/>
          <w:szCs w:val="20"/>
        </w:rPr>
        <w:t>2東書・数Ⅰ</w:t>
      </w:r>
      <w:r w:rsidR="00106A58">
        <w:rPr>
          <w:rFonts w:ascii="ＭＳ Ｐゴシック" w:eastAsia="ＭＳ Ｐゴシック" w:hAnsi="ＭＳ Ｐゴシック"/>
          <w:sz w:val="20"/>
          <w:szCs w:val="20"/>
        </w:rPr>
        <w:t>70</w:t>
      </w:r>
      <w:r>
        <w:rPr>
          <w:rFonts w:ascii="ＭＳ Ｐゴシック" w:eastAsia="ＭＳ Ｐゴシック" w:hAnsi="ＭＳ Ｐゴシック" w:hint="eastAsia"/>
          <w:sz w:val="20"/>
          <w:szCs w:val="20"/>
        </w:rPr>
        <w:t>4･705</w:t>
      </w:r>
      <w:r w:rsidR="002C0F0A" w:rsidRPr="007B2E68">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新</w:t>
      </w:r>
      <w:r w:rsidR="00E91010">
        <w:rPr>
          <w:rFonts w:ascii="ＭＳ Ｐゴシック" w:eastAsia="ＭＳ Ｐゴシック" w:hAnsi="ＭＳ Ｐゴシック"/>
          <w:sz w:val="20"/>
          <w:szCs w:val="20"/>
        </w:rPr>
        <w:t>数学Ａ</w:t>
      </w:r>
      <w:r w:rsidR="007B2E68" w:rsidRPr="007B2E68">
        <w:rPr>
          <w:rFonts w:ascii="ＭＳ Ｐゴシック" w:eastAsia="ＭＳ Ｐゴシック" w:hAnsi="ＭＳ Ｐゴシック" w:hint="eastAsia"/>
          <w:sz w:val="20"/>
          <w:szCs w:val="20"/>
        </w:rPr>
        <w:t>/</w:t>
      </w:r>
      <w:r w:rsidR="002C0F0A" w:rsidRPr="007B2E68">
        <w:rPr>
          <w:rFonts w:ascii="ＭＳ Ｐゴシック" w:eastAsia="ＭＳ Ｐゴシック" w:hAnsi="ＭＳ Ｐゴシック"/>
          <w:sz w:val="20"/>
          <w:szCs w:val="20"/>
        </w:rPr>
        <w:t>2東書・数A</w:t>
      </w:r>
      <w:r w:rsidR="00106A58">
        <w:rPr>
          <w:rFonts w:ascii="ＭＳ Ｐゴシック" w:eastAsia="ＭＳ Ｐゴシック" w:hAnsi="ＭＳ Ｐゴシック"/>
          <w:sz w:val="20"/>
          <w:szCs w:val="20"/>
        </w:rPr>
        <w:t>70</w:t>
      </w:r>
      <w:r>
        <w:rPr>
          <w:rFonts w:ascii="ＭＳ Ｐゴシック" w:eastAsia="ＭＳ Ｐゴシック" w:hAnsi="ＭＳ Ｐゴシック" w:hint="eastAsia"/>
          <w:sz w:val="20"/>
          <w:szCs w:val="20"/>
        </w:rPr>
        <w:t>4/705</w:t>
      </w:r>
    </w:p>
    <w:p w14:paraId="7A342EBB" w14:textId="77777777" w:rsidR="003D33EB" w:rsidRPr="002C0F0A" w:rsidRDefault="003D33EB" w:rsidP="002C0F0A">
      <w:pPr>
        <w:jc w:val="right"/>
        <w:rPr>
          <w:rFonts w:ascii="ＭＳ Ｐゴシック" w:eastAsia="ＭＳ Ｐゴシック" w:hAnsi="ＭＳ Ｐゴシック"/>
          <w:szCs w:val="21"/>
        </w:rPr>
      </w:pPr>
    </w:p>
    <w:tbl>
      <w:tblPr>
        <w:tblW w:w="10770" w:type="dxa"/>
        <w:tblLayout w:type="fixed"/>
        <w:tblCellMar>
          <w:top w:w="57" w:type="dxa"/>
          <w:left w:w="57" w:type="dxa"/>
          <w:bottom w:w="57" w:type="dxa"/>
          <w:right w:w="57" w:type="dxa"/>
        </w:tblCellMar>
        <w:tblLook w:val="01E0" w:firstRow="1" w:lastRow="1" w:firstColumn="1" w:lastColumn="1" w:noHBand="0" w:noVBand="0"/>
      </w:tblPr>
      <w:tblGrid>
        <w:gridCol w:w="567"/>
        <w:gridCol w:w="3116"/>
        <w:gridCol w:w="7087"/>
      </w:tblGrid>
      <w:tr w:rsidR="003D33EB" w:rsidRPr="002C0F0A" w14:paraId="6F08A846" w14:textId="07910375" w:rsidTr="009049EE">
        <w:trPr>
          <w:cantSplit/>
          <w:tblHeader/>
        </w:trPr>
        <w:tc>
          <w:tcPr>
            <w:tcW w:w="567" w:type="dxa"/>
            <w:tcBorders>
              <w:top w:val="single" w:sz="2" w:space="0" w:color="58595B"/>
              <w:left w:val="single" w:sz="2" w:space="0" w:color="58595B"/>
              <w:bottom w:val="single" w:sz="2" w:space="0" w:color="6D6E71"/>
              <w:right w:val="single" w:sz="2" w:space="0" w:color="58595B"/>
            </w:tcBorders>
            <w:shd w:val="clear" w:color="auto" w:fill="2E74B5" w:themeFill="accent5" w:themeFillShade="BF"/>
          </w:tcPr>
          <w:p w14:paraId="5B8849CD" w14:textId="1B8F2681" w:rsidR="003D33EB" w:rsidRPr="002C0F0A" w:rsidRDefault="003D33EB" w:rsidP="002C0F0A">
            <w:pPr>
              <w:adjustRightInd w:val="0"/>
              <w:ind w:leftChars="-50" w:left="-105" w:rightChars="-50" w:right="-105"/>
              <w:jc w:val="center"/>
              <w:rPr>
                <w:rFonts w:ascii="ＭＳ ゴシック" w:eastAsia="ＭＳ ゴシック" w:hAnsi="ＭＳ ゴシック" w:cs="A-OTF ゴシックMB101 Pro L"/>
                <w:szCs w:val="21"/>
              </w:rPr>
            </w:pPr>
            <w:r w:rsidRPr="002C0F0A">
              <w:rPr>
                <w:rFonts w:ascii="ＭＳ ゴシック" w:eastAsia="ＭＳ ゴシック" w:hAnsi="ＭＳ ゴシック" w:cs="A-OTF ゴシックMB101 Pro L"/>
                <w:color w:val="FFFFFF"/>
                <w:position w:val="-2"/>
                <w:szCs w:val="21"/>
              </w:rPr>
              <w:t>項</w:t>
            </w:r>
            <w:r w:rsidRPr="002C0F0A">
              <w:rPr>
                <w:rFonts w:ascii="ＭＳ ゴシック" w:eastAsia="ＭＳ ゴシック" w:hAnsi="ＭＳ ゴシック" w:cs="A-OTF ゴシックMB101 Pro L"/>
                <w:color w:val="FFFFFF"/>
                <w:w w:val="103"/>
                <w:position w:val="-2"/>
                <w:szCs w:val="21"/>
              </w:rPr>
              <w:t>目</w:t>
            </w:r>
          </w:p>
        </w:tc>
        <w:tc>
          <w:tcPr>
            <w:tcW w:w="3116" w:type="dxa"/>
            <w:tcBorders>
              <w:top w:val="single" w:sz="2" w:space="0" w:color="58595B"/>
              <w:left w:val="single" w:sz="2" w:space="0" w:color="58595B"/>
              <w:bottom w:val="single" w:sz="2" w:space="0" w:color="6D6E71"/>
              <w:right w:val="single" w:sz="2" w:space="0" w:color="58595B"/>
            </w:tcBorders>
            <w:shd w:val="clear" w:color="auto" w:fill="2E74B5" w:themeFill="accent5" w:themeFillShade="BF"/>
          </w:tcPr>
          <w:p w14:paraId="16843044" w14:textId="5DC4D0B8"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w w:val="103"/>
                <w:szCs w:val="21"/>
              </w:rPr>
              <w:t>観点</w:t>
            </w:r>
          </w:p>
        </w:tc>
        <w:tc>
          <w:tcPr>
            <w:tcW w:w="7087" w:type="dxa"/>
            <w:tcBorders>
              <w:top w:val="single" w:sz="2" w:space="0" w:color="58595B"/>
              <w:left w:val="single" w:sz="2" w:space="0" w:color="58595B"/>
              <w:bottom w:val="single" w:sz="2" w:space="0" w:color="6D6E71"/>
              <w:right w:val="single" w:sz="2" w:space="0" w:color="58595B"/>
            </w:tcBorders>
            <w:shd w:val="clear" w:color="auto" w:fill="2E74B5" w:themeFill="accent5" w:themeFillShade="BF"/>
          </w:tcPr>
          <w:p w14:paraId="683C5EAB" w14:textId="628802FA"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spacing w:val="16"/>
                <w:w w:val="103"/>
                <w:szCs w:val="21"/>
              </w:rPr>
              <w:t>内容の特</w:t>
            </w:r>
            <w:r w:rsidRPr="002C0F0A">
              <w:rPr>
                <w:rFonts w:ascii="ＭＳ ゴシック" w:eastAsia="ＭＳ ゴシック" w:hAnsi="ＭＳ ゴシック" w:cs="Adobe Song Std L"/>
                <w:color w:val="FFFFFF"/>
                <w:w w:val="103"/>
                <w:szCs w:val="21"/>
              </w:rPr>
              <w:t>色</w:t>
            </w:r>
          </w:p>
        </w:tc>
      </w:tr>
      <w:tr w:rsidR="005B3198" w:rsidRPr="002C0F0A" w14:paraId="2EE08739" w14:textId="31805C25"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58C4ACF6"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内容の選択・程度</w:t>
            </w:r>
          </w:p>
        </w:tc>
        <w:tc>
          <w:tcPr>
            <w:tcW w:w="3116" w:type="dxa"/>
            <w:tcBorders>
              <w:top w:val="single" w:sz="2" w:space="0" w:color="6D6E71"/>
              <w:left w:val="single" w:sz="2" w:space="0" w:color="6D6E71"/>
              <w:bottom w:val="single" w:sz="2" w:space="0" w:color="6D6E71"/>
              <w:right w:val="single" w:sz="2" w:space="0" w:color="6D6E71"/>
            </w:tcBorders>
          </w:tcPr>
          <w:p w14:paraId="0C2C31C9" w14:textId="38D2E418"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＊学習指導要領の教科の目標を達成するため必要な教材が適切に用意されているか。</w:t>
            </w:r>
          </w:p>
          <w:p w14:paraId="167EAC63" w14:textId="0D85340E"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＊基礎的・基本的事項の理解や習得のため適切な配慮がなされているか。</w:t>
            </w:r>
          </w:p>
          <w:p w14:paraId="14A80691" w14:textId="4A2AAD90"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＊発展的な学習内容の取り扱いに対する適切な配慮がなされているか。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70E03FC9" w14:textId="22C86FDF" w:rsidR="00AB2889" w:rsidRPr="00AB2889" w:rsidRDefault="00AB2889" w:rsidP="00AB2889">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基礎的・基本的な事項を過不足なく取り上げ，例・例題を参考にすれば問題が解ける，問題を解くことによって数学的な思考力・表現力が育成されるなど，学習者の意欲を喚起するように編集が工夫されている。</w:t>
            </w:r>
          </w:p>
          <w:p w14:paraId="65FBE5E6" w14:textId="07341C66" w:rsidR="00AB2889" w:rsidRPr="00AB2889" w:rsidRDefault="00AB2889" w:rsidP="00AB2889">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各項の冒頭に「ねらい」を設け，目的意識をもって学習に取り組めるように配慮されている。</w:t>
            </w:r>
          </w:p>
          <w:p w14:paraId="0BAF8758" w14:textId="367E6165" w:rsidR="00AB2889" w:rsidRPr="00AB2889" w:rsidRDefault="00AB2889" w:rsidP="00AB2889">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各ページ右段に，その問題を解くために必要な公式</w:t>
            </w:r>
            <w:r w:rsidR="0060105E">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知識，</w:t>
            </w:r>
            <w:r w:rsidR="0060105E">
              <w:rPr>
                <w:rFonts w:ascii="ＭＳ 明朝" w:eastAsia="ＭＳ 明朝" w:hAnsi="ＭＳ 明朝" w:cs="Adobe Song Std L" w:hint="eastAsia"/>
                <w:color w:val="000000" w:themeColor="text1"/>
                <w:szCs w:val="21"/>
              </w:rPr>
              <w:t>用語，解説，</w:t>
            </w:r>
            <w:r w:rsidRPr="00AB2889">
              <w:rPr>
                <w:rFonts w:ascii="ＭＳ 明朝" w:eastAsia="ＭＳ 明朝" w:hAnsi="ＭＳ 明朝" w:cs="Adobe Song Std L" w:hint="eastAsia"/>
                <w:color w:val="000000" w:themeColor="text1"/>
                <w:szCs w:val="21"/>
              </w:rPr>
              <w:t>注意すべき内容を取り上げた「側注」を設け，基礎的・基本的な知識や技能が確実に定着するように工夫されている。</w:t>
            </w:r>
          </w:p>
          <w:p w14:paraId="67E7E5D3" w14:textId="23377F66" w:rsidR="00AB2889" w:rsidRPr="00AB2889" w:rsidRDefault="00AB2889" w:rsidP="00AB2889">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ページの右段には，適宜「ここに注意！」で正答と典型的な誤りを併記してその解説を記述し，注意を喚起して正しい理解に至るように工夫されている。</w:t>
            </w:r>
          </w:p>
          <w:p w14:paraId="12DF9ADE" w14:textId="77777777" w:rsidR="00FC65DD" w:rsidRDefault="00AB2889" w:rsidP="00AB2889">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color w:val="000000" w:themeColor="text1"/>
                <w:szCs w:val="21"/>
              </w:rPr>
              <w:t>1章　数と式」では，整式は，文字式の表し方の規則の知識が必要であるので，その直前で「文字を使った式」が扱われている。(p.</w:t>
            </w:r>
            <w:r w:rsidR="00FC65DD">
              <w:rPr>
                <w:rFonts w:ascii="ＭＳ 明朝" w:eastAsia="ＭＳ 明朝" w:hAnsi="ＭＳ 明朝" w:cs="Adobe Song Std L" w:hint="eastAsia"/>
                <w:color w:val="000000" w:themeColor="text1"/>
                <w:szCs w:val="21"/>
              </w:rPr>
              <w:t>32</w:t>
            </w:r>
            <w:r w:rsidRPr="00AB2889">
              <w:rPr>
                <w:rFonts w:ascii="ＭＳ 明朝" w:eastAsia="ＭＳ 明朝" w:hAnsi="ＭＳ 明朝" w:cs="Adobe Song Std L"/>
                <w:color w:val="000000" w:themeColor="text1"/>
                <w:szCs w:val="21"/>
              </w:rPr>
              <w:t>～</w:t>
            </w:r>
            <w:r w:rsidR="00FC65DD">
              <w:rPr>
                <w:rFonts w:ascii="ＭＳ 明朝" w:eastAsia="ＭＳ 明朝" w:hAnsi="ＭＳ 明朝" w:cs="Adobe Song Std L" w:hint="eastAsia"/>
                <w:color w:val="000000" w:themeColor="text1"/>
                <w:szCs w:val="21"/>
              </w:rPr>
              <w:t>33</w:t>
            </w:r>
            <w:r w:rsidRPr="00AB2889">
              <w:rPr>
                <w:rFonts w:ascii="ＭＳ 明朝" w:eastAsia="ＭＳ 明朝" w:hAnsi="ＭＳ 明朝" w:cs="Adobe Song Std L"/>
                <w:color w:val="000000" w:themeColor="text1"/>
                <w:szCs w:val="21"/>
              </w:rPr>
              <w:t>)</w:t>
            </w:r>
            <w:r w:rsidRPr="00AB2889">
              <w:rPr>
                <w:rFonts w:ascii="ＭＳ 明朝" w:eastAsia="ＭＳ 明朝" w:hAnsi="ＭＳ 明朝" w:cs="Adobe Song Std L" w:hint="eastAsia"/>
                <w:color w:val="000000" w:themeColor="text1"/>
                <w:szCs w:val="21"/>
              </w:rPr>
              <w:t>因数分解のたすきがけの方法では，３パターンの失敗例を取り上げ，注意を喚起するように編集されている。（</w:t>
            </w:r>
            <w:r w:rsidRPr="00AB2889">
              <w:rPr>
                <w:rFonts w:ascii="ＭＳ 明朝" w:eastAsia="ＭＳ 明朝" w:hAnsi="ＭＳ 明朝" w:cs="Adobe Song Std L"/>
                <w:color w:val="000000" w:themeColor="text1"/>
                <w:szCs w:val="21"/>
              </w:rPr>
              <w:t>p.</w:t>
            </w:r>
            <w:r w:rsidR="00FC65DD">
              <w:rPr>
                <w:rFonts w:ascii="ＭＳ 明朝" w:eastAsia="ＭＳ 明朝" w:hAnsi="ＭＳ 明朝" w:cs="Adobe Song Std L" w:hint="eastAsia"/>
                <w:color w:val="000000" w:themeColor="text1"/>
                <w:szCs w:val="21"/>
              </w:rPr>
              <w:t>44～45</w:t>
            </w:r>
            <w:r w:rsidRPr="00AB2889">
              <w:rPr>
                <w:rFonts w:ascii="ＭＳ 明朝" w:eastAsia="ＭＳ 明朝" w:hAnsi="ＭＳ 明朝" w:cs="Adobe Song Std L"/>
                <w:color w:val="000000" w:themeColor="text1"/>
                <w:szCs w:val="21"/>
              </w:rPr>
              <w:t>）</w:t>
            </w:r>
            <w:r>
              <w:rPr>
                <w:rFonts w:ascii="ＭＳ 明朝" w:eastAsia="ＭＳ 明朝" w:hAnsi="ＭＳ 明朝" w:cs="Adobe Song Std L"/>
                <w:color w:val="000000" w:themeColor="text1"/>
                <w:szCs w:val="21"/>
              </w:rPr>
              <w:br/>
            </w:r>
            <w:r w:rsidRPr="00AB2889">
              <w:rPr>
                <w:rFonts w:ascii="ＭＳ 明朝" w:eastAsia="ＭＳ 明朝" w:hAnsi="ＭＳ 明朝" w:cs="Adobe Song Std L" w:hint="eastAsia"/>
                <w:color w:val="000000" w:themeColor="text1"/>
                <w:szCs w:val="21"/>
              </w:rPr>
              <w:t>１次不等式の直前で「１次方程式」を扱い，関連する既習内容を確認できるように配慮されている。</w:t>
            </w:r>
            <w:r w:rsidRPr="00AB2889">
              <w:rPr>
                <w:rFonts w:ascii="ＭＳ 明朝" w:eastAsia="ＭＳ 明朝" w:hAnsi="ＭＳ 明朝" w:cs="Adobe Song Std L"/>
                <w:color w:val="000000" w:themeColor="text1"/>
                <w:szCs w:val="21"/>
              </w:rPr>
              <w:t>(p.</w:t>
            </w:r>
            <w:r w:rsidR="00FC65DD">
              <w:rPr>
                <w:rFonts w:ascii="ＭＳ 明朝" w:eastAsia="ＭＳ 明朝" w:hAnsi="ＭＳ 明朝" w:cs="Adobe Song Std L" w:hint="eastAsia"/>
                <w:color w:val="000000" w:themeColor="text1"/>
                <w:szCs w:val="21"/>
              </w:rPr>
              <w:t>58</w:t>
            </w:r>
            <w:r w:rsidRPr="00AB2889">
              <w:rPr>
                <w:rFonts w:ascii="ＭＳ 明朝" w:eastAsia="ＭＳ 明朝" w:hAnsi="ＭＳ 明朝" w:cs="Adobe Song Std L"/>
                <w:color w:val="000000" w:themeColor="text1"/>
                <w:szCs w:val="21"/>
              </w:rPr>
              <w:t>～</w:t>
            </w:r>
            <w:r w:rsidR="00FC65DD">
              <w:rPr>
                <w:rFonts w:ascii="ＭＳ 明朝" w:eastAsia="ＭＳ 明朝" w:hAnsi="ＭＳ 明朝" w:cs="Adobe Song Std L" w:hint="eastAsia"/>
                <w:color w:val="000000" w:themeColor="text1"/>
                <w:szCs w:val="21"/>
              </w:rPr>
              <w:t>59</w:t>
            </w:r>
            <w:r w:rsidRPr="00AB2889">
              <w:rPr>
                <w:rFonts w:ascii="ＭＳ 明朝" w:eastAsia="ＭＳ 明朝" w:hAnsi="ＭＳ 明朝" w:cs="Adobe Song Std L"/>
                <w:color w:val="000000" w:themeColor="text1"/>
                <w:szCs w:val="21"/>
              </w:rPr>
              <w:t>)</w:t>
            </w:r>
          </w:p>
          <w:p w14:paraId="3581539B" w14:textId="3D19B8D5" w:rsidR="00AB2889" w:rsidRPr="00AB2889" w:rsidRDefault="00AB2889" w:rsidP="00AB2889">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color w:val="000000" w:themeColor="text1"/>
                <w:szCs w:val="21"/>
              </w:rPr>
              <w:t>2章　２次関数」では，２次関数の限られた範囲での最大値・最小値は，定義域によってグラフの形状が変わり，最大値・最小値も変化することが重要なポイントであるため，２つの定義域が扱われている。(p.</w:t>
            </w:r>
            <w:r w:rsidR="00FC65DD">
              <w:rPr>
                <w:rFonts w:ascii="ＭＳ 明朝" w:eastAsia="ＭＳ 明朝" w:hAnsi="ＭＳ 明朝" w:cs="Adobe Song Std L" w:hint="eastAsia"/>
                <w:color w:val="000000" w:themeColor="text1"/>
                <w:szCs w:val="21"/>
              </w:rPr>
              <w:t>94</w:t>
            </w:r>
            <w:r w:rsidRPr="00AB2889">
              <w:rPr>
                <w:rFonts w:ascii="ＭＳ 明朝" w:eastAsia="ＭＳ 明朝" w:hAnsi="ＭＳ 明朝" w:cs="Adobe Song Std L"/>
                <w:color w:val="000000" w:themeColor="text1"/>
                <w:szCs w:val="21"/>
              </w:rPr>
              <w:t>)</w:t>
            </w:r>
            <w:r>
              <w:rPr>
                <w:rFonts w:ascii="ＭＳ 明朝" w:eastAsia="ＭＳ 明朝" w:hAnsi="ＭＳ 明朝" w:cs="Adobe Song Std L"/>
                <w:color w:val="000000" w:themeColor="text1"/>
                <w:szCs w:val="21"/>
              </w:rPr>
              <w:br/>
            </w:r>
            <w:r w:rsidRPr="00AB2889">
              <w:rPr>
                <w:rFonts w:ascii="ＭＳ 明朝" w:eastAsia="ＭＳ 明朝" w:hAnsi="ＭＳ 明朝" w:cs="Adobe Song Std L" w:hint="eastAsia"/>
                <w:color w:val="000000" w:themeColor="text1"/>
                <w:szCs w:val="21"/>
              </w:rPr>
              <w:t>２次不等式では，因数分解できる２次式が正や負</w:t>
            </w:r>
            <w:r w:rsidRPr="00AB2889">
              <w:rPr>
                <w:rFonts w:ascii="ＭＳ 明朝" w:eastAsia="ＭＳ 明朝" w:hAnsi="ＭＳ 明朝" w:cs="Adobe Song Std L"/>
                <w:color w:val="000000" w:themeColor="text1"/>
                <w:szCs w:val="21"/>
              </w:rPr>
              <w:t>(等号も含む)になる場合</w:t>
            </w:r>
            <w:r w:rsidR="00F3211E">
              <w:rPr>
                <w:rFonts w:ascii="ＭＳ 明朝" w:eastAsia="ＭＳ 明朝" w:hAnsi="ＭＳ 明朝" w:cs="Adobe Song Std L" w:hint="eastAsia"/>
                <w:color w:val="000000" w:themeColor="text1"/>
                <w:szCs w:val="21"/>
              </w:rPr>
              <w:t>（p.98～99）</w:t>
            </w:r>
            <w:r w:rsidRPr="00AB2889">
              <w:rPr>
                <w:rFonts w:ascii="ＭＳ 明朝" w:eastAsia="ＭＳ 明朝" w:hAnsi="ＭＳ 明朝" w:cs="Adobe Song Std L"/>
                <w:color w:val="000000" w:themeColor="text1"/>
                <w:szCs w:val="21"/>
              </w:rPr>
              <w:t>，解の公式を用いて解く場合</w:t>
            </w:r>
            <w:r w:rsidR="00F3211E">
              <w:rPr>
                <w:rFonts w:ascii="ＭＳ 明朝" w:eastAsia="ＭＳ 明朝" w:hAnsi="ＭＳ 明朝" w:cs="Adobe Song Std L" w:hint="eastAsia"/>
                <w:color w:val="000000" w:themeColor="text1"/>
                <w:szCs w:val="21"/>
              </w:rPr>
              <w:t>（ｐ.100）</w:t>
            </w:r>
            <w:r w:rsidRPr="00AB2889">
              <w:rPr>
                <w:rFonts w:ascii="ＭＳ 明朝" w:eastAsia="ＭＳ 明朝" w:hAnsi="ＭＳ 明朝" w:cs="Adobe Song Std L"/>
                <w:color w:val="000000" w:themeColor="text1"/>
                <w:szCs w:val="21"/>
              </w:rPr>
              <w:t>，２次の係数が負の場合</w:t>
            </w:r>
            <w:r w:rsidR="00F3211E">
              <w:rPr>
                <w:rFonts w:ascii="ＭＳ 明朝" w:eastAsia="ＭＳ 明朝" w:hAnsi="ＭＳ 明朝" w:cs="Adobe Song Std L" w:hint="eastAsia"/>
                <w:color w:val="000000" w:themeColor="text1"/>
                <w:szCs w:val="21"/>
              </w:rPr>
              <w:t>（p.101）</w:t>
            </w:r>
            <w:r w:rsidRPr="00AB2889">
              <w:rPr>
                <w:rFonts w:ascii="ＭＳ 明朝" w:eastAsia="ＭＳ 明朝" w:hAnsi="ＭＳ 明朝" w:cs="Adobe Song Std L"/>
                <w:color w:val="000000" w:themeColor="text1"/>
                <w:szCs w:val="21"/>
              </w:rPr>
              <w:t>など，いろいろな場合が扱われている。</w:t>
            </w:r>
          </w:p>
          <w:p w14:paraId="390B941A" w14:textId="43C74E04" w:rsidR="00AB2889" w:rsidRPr="00AB2889" w:rsidRDefault="00AB2889" w:rsidP="00AB2889">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color w:val="000000" w:themeColor="text1"/>
                <w:szCs w:val="21"/>
              </w:rPr>
              <w:t>3章　三角比」では，中学校で学んだ三角形の相似条件や三平方の定理を用いることが多いので，それらを１項「三角形」として，タンジェントの直前で復習できるように配慮されている。(p.</w:t>
            </w:r>
            <w:r w:rsidR="00F3211E">
              <w:rPr>
                <w:rFonts w:ascii="ＭＳ 明朝" w:eastAsia="ＭＳ 明朝" w:hAnsi="ＭＳ 明朝" w:cs="Adobe Song Std L" w:hint="eastAsia"/>
                <w:color w:val="000000" w:themeColor="text1"/>
                <w:szCs w:val="21"/>
              </w:rPr>
              <w:t>104</w:t>
            </w:r>
            <w:r w:rsidRPr="00AB2889">
              <w:rPr>
                <w:rFonts w:ascii="ＭＳ 明朝" w:eastAsia="ＭＳ 明朝" w:hAnsi="ＭＳ 明朝" w:cs="Adobe Song Std L"/>
                <w:color w:val="000000" w:themeColor="text1"/>
                <w:szCs w:val="21"/>
              </w:rPr>
              <w:t>～</w:t>
            </w:r>
            <w:r w:rsidR="00F3211E">
              <w:rPr>
                <w:rFonts w:ascii="ＭＳ 明朝" w:eastAsia="ＭＳ 明朝" w:hAnsi="ＭＳ 明朝" w:cs="Adobe Song Std L" w:hint="eastAsia"/>
                <w:color w:val="000000" w:themeColor="text1"/>
                <w:szCs w:val="21"/>
              </w:rPr>
              <w:t>105</w:t>
            </w:r>
            <w:r w:rsidRPr="00AB2889">
              <w:rPr>
                <w:rFonts w:ascii="ＭＳ 明朝" w:eastAsia="ＭＳ 明朝" w:hAnsi="ＭＳ 明朝" w:cs="Adobe Song Std L"/>
                <w:color w:val="000000" w:themeColor="text1"/>
                <w:szCs w:val="21"/>
              </w:rPr>
              <w:t>)</w:t>
            </w:r>
            <w:r>
              <w:rPr>
                <w:rFonts w:ascii="ＭＳ 明朝" w:eastAsia="ＭＳ 明朝" w:hAnsi="ＭＳ 明朝" w:cs="Adobe Song Std L"/>
                <w:color w:val="000000" w:themeColor="text1"/>
                <w:szCs w:val="21"/>
              </w:rPr>
              <w:br/>
            </w:r>
            <w:r w:rsidRPr="00AB2889">
              <w:rPr>
                <w:rFonts w:ascii="ＭＳ 明朝" w:eastAsia="ＭＳ 明朝" w:hAnsi="ＭＳ 明朝" w:cs="Adobe Song Std L" w:hint="eastAsia"/>
                <w:color w:val="000000" w:themeColor="text1"/>
                <w:szCs w:val="21"/>
              </w:rPr>
              <w:t>三角比の相互関係では，三平方の定理による解法も，本文で丁寧に扱っている。（</w:t>
            </w:r>
            <w:r w:rsidRPr="00AB2889">
              <w:rPr>
                <w:rFonts w:ascii="ＭＳ 明朝" w:eastAsia="ＭＳ 明朝" w:hAnsi="ＭＳ 明朝" w:cs="Adobe Song Std L"/>
                <w:color w:val="000000" w:themeColor="text1"/>
                <w:szCs w:val="21"/>
              </w:rPr>
              <w:t>p.</w:t>
            </w:r>
            <w:r w:rsidR="00F3211E">
              <w:rPr>
                <w:rFonts w:ascii="ＭＳ 明朝" w:eastAsia="ＭＳ 明朝" w:hAnsi="ＭＳ 明朝" w:cs="Adobe Song Std L" w:hint="eastAsia"/>
                <w:color w:val="000000" w:themeColor="text1"/>
                <w:szCs w:val="21"/>
              </w:rPr>
              <w:t>114</w:t>
            </w:r>
            <w:r w:rsidRPr="00AB2889">
              <w:rPr>
                <w:rFonts w:ascii="ＭＳ 明朝" w:eastAsia="ＭＳ 明朝" w:hAnsi="ＭＳ 明朝" w:cs="Adobe Song Std L"/>
                <w:color w:val="000000" w:themeColor="text1"/>
                <w:szCs w:val="21"/>
              </w:rPr>
              <w:t>～</w:t>
            </w:r>
            <w:r w:rsidR="00F3211E">
              <w:rPr>
                <w:rFonts w:ascii="ＭＳ 明朝" w:eastAsia="ＭＳ 明朝" w:hAnsi="ＭＳ 明朝" w:cs="Adobe Song Std L" w:hint="eastAsia"/>
                <w:color w:val="000000" w:themeColor="text1"/>
                <w:szCs w:val="21"/>
              </w:rPr>
              <w:t>115</w:t>
            </w:r>
            <w:r w:rsidRPr="00AB2889">
              <w:rPr>
                <w:rFonts w:ascii="ＭＳ 明朝" w:eastAsia="ＭＳ 明朝" w:hAnsi="ＭＳ 明朝" w:cs="Adobe Song Std L"/>
                <w:color w:val="000000" w:themeColor="text1"/>
                <w:szCs w:val="21"/>
              </w:rPr>
              <w:t>）</w:t>
            </w:r>
          </w:p>
          <w:p w14:paraId="24F726C9" w14:textId="1311E697" w:rsidR="00AB2889" w:rsidRDefault="00AB2889" w:rsidP="00AB2889">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w:t>
            </w:r>
            <w:r w:rsidR="00F3211E">
              <w:rPr>
                <w:rFonts w:ascii="ＭＳ 明朝" w:eastAsia="ＭＳ 明朝" w:hAnsi="ＭＳ 明朝" w:cs="Adobe Song Std L" w:hint="eastAsia"/>
                <w:color w:val="000000" w:themeColor="text1"/>
                <w:szCs w:val="21"/>
              </w:rPr>
              <w:t>4</w:t>
            </w:r>
            <w:r w:rsidRPr="00AB2889">
              <w:rPr>
                <w:rFonts w:ascii="ＭＳ 明朝" w:eastAsia="ＭＳ 明朝" w:hAnsi="ＭＳ 明朝" w:cs="Adobe Song Std L"/>
                <w:color w:val="000000" w:themeColor="text1"/>
                <w:szCs w:val="21"/>
              </w:rPr>
              <w:t>章　データの分析」では，</w:t>
            </w:r>
            <w:r w:rsidR="00F3211E">
              <w:rPr>
                <w:rFonts w:ascii="ＭＳ 明朝" w:eastAsia="ＭＳ 明朝" w:hAnsi="ＭＳ 明朝" w:cs="Adobe Song Std L" w:hint="eastAsia"/>
                <w:color w:val="000000" w:themeColor="text1"/>
                <w:szCs w:val="21"/>
              </w:rPr>
              <w:t>中学校で学んだ代表値、</w:t>
            </w:r>
            <w:r w:rsidRPr="00AB2889">
              <w:rPr>
                <w:rFonts w:ascii="ＭＳ 明朝" w:eastAsia="ＭＳ 明朝" w:hAnsi="ＭＳ 明朝" w:cs="Adobe Song Std L"/>
                <w:color w:val="000000" w:themeColor="text1"/>
                <w:szCs w:val="21"/>
              </w:rPr>
              <w:t>四分位数と箱ひげ図</w:t>
            </w:r>
            <w:r w:rsidR="003E22C4">
              <w:rPr>
                <w:rFonts w:ascii="ＭＳ 明朝" w:eastAsia="ＭＳ 明朝" w:hAnsi="ＭＳ 明朝" w:cs="Adobe Song Std L" w:hint="eastAsia"/>
                <w:color w:val="000000" w:themeColor="text1"/>
                <w:szCs w:val="21"/>
              </w:rPr>
              <w:t>について復習できるように配慮されている</w:t>
            </w:r>
            <w:r w:rsidR="003E22C4" w:rsidRPr="00AB2889">
              <w:rPr>
                <w:rFonts w:ascii="ＭＳ 明朝" w:eastAsia="ＭＳ 明朝" w:hAnsi="ＭＳ 明朝" w:cs="Adobe Song Std L"/>
                <w:color w:val="000000" w:themeColor="text1"/>
                <w:szCs w:val="21"/>
              </w:rPr>
              <w:t xml:space="preserve"> </w:t>
            </w:r>
            <w:r w:rsidRPr="00AB2889">
              <w:rPr>
                <w:rFonts w:ascii="ＭＳ 明朝" w:eastAsia="ＭＳ 明朝" w:hAnsi="ＭＳ 明朝" w:cs="Adobe Song Std L"/>
                <w:color w:val="000000" w:themeColor="text1"/>
                <w:szCs w:val="21"/>
              </w:rPr>
              <w:t>(p.13</w:t>
            </w:r>
            <w:r w:rsidR="003E22C4">
              <w:rPr>
                <w:rFonts w:ascii="ＭＳ 明朝" w:eastAsia="ＭＳ 明朝" w:hAnsi="ＭＳ 明朝" w:cs="Adobe Song Std L" w:hint="eastAsia"/>
                <w:color w:val="000000" w:themeColor="text1"/>
                <w:szCs w:val="21"/>
              </w:rPr>
              <w:t>6</w:t>
            </w:r>
            <w:r w:rsidRPr="00AB2889">
              <w:rPr>
                <w:rFonts w:ascii="ＭＳ 明朝" w:eastAsia="ＭＳ 明朝" w:hAnsi="ＭＳ 明朝" w:cs="Adobe Song Std L"/>
                <w:color w:val="000000" w:themeColor="text1"/>
                <w:szCs w:val="21"/>
              </w:rPr>
              <w:t>～13</w:t>
            </w:r>
            <w:r w:rsidR="003E22C4">
              <w:rPr>
                <w:rFonts w:ascii="ＭＳ 明朝" w:eastAsia="ＭＳ 明朝" w:hAnsi="ＭＳ 明朝" w:cs="Adobe Song Std L" w:hint="eastAsia"/>
                <w:color w:val="000000" w:themeColor="text1"/>
                <w:szCs w:val="21"/>
              </w:rPr>
              <w:t>9</w:t>
            </w:r>
            <w:r w:rsidRPr="00AB2889">
              <w:rPr>
                <w:rFonts w:ascii="ＭＳ 明朝" w:eastAsia="ＭＳ 明朝" w:hAnsi="ＭＳ 明朝" w:cs="Adobe Song Std L"/>
                <w:color w:val="000000" w:themeColor="text1"/>
                <w:szCs w:val="21"/>
              </w:rPr>
              <w:t>))</w:t>
            </w:r>
          </w:p>
          <w:p w14:paraId="25E720C2" w14:textId="2F9C4E50" w:rsidR="005B3198" w:rsidRPr="00C1378B" w:rsidRDefault="00AB2889" w:rsidP="00AB2889">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課題学習は，学習内容と</w:t>
            </w:r>
            <w:r w:rsidR="003E22C4">
              <w:rPr>
                <w:rFonts w:ascii="ＭＳ 明朝" w:eastAsia="ＭＳ 明朝" w:hAnsi="ＭＳ 明朝" w:cs="Adobe Song Std L" w:hint="eastAsia"/>
                <w:color w:val="000000" w:themeColor="text1"/>
                <w:szCs w:val="21"/>
              </w:rPr>
              <w:t>社会</w:t>
            </w:r>
            <w:r w:rsidRPr="00AB2889">
              <w:rPr>
                <w:rFonts w:ascii="ＭＳ 明朝" w:eastAsia="ＭＳ 明朝" w:hAnsi="ＭＳ 明朝" w:cs="Adobe Song Std L" w:hint="eastAsia"/>
                <w:color w:val="000000" w:themeColor="text1"/>
                <w:szCs w:val="21"/>
              </w:rPr>
              <w:t>との関連が十分に図られており，生徒の興味・関心を高める数学的活動を重視した課題が扱われている。</w:t>
            </w:r>
            <w:r w:rsidRPr="00AB2889">
              <w:rPr>
                <w:rFonts w:ascii="ＭＳ 明朝" w:eastAsia="ＭＳ 明朝" w:hAnsi="ＭＳ 明朝" w:cs="Adobe Song Std L"/>
                <w:color w:val="000000" w:themeColor="text1"/>
                <w:szCs w:val="21"/>
              </w:rPr>
              <w:t>(p.1</w:t>
            </w:r>
            <w:r w:rsidR="003E22C4">
              <w:rPr>
                <w:rFonts w:ascii="ＭＳ 明朝" w:eastAsia="ＭＳ 明朝" w:hAnsi="ＭＳ 明朝" w:cs="Adobe Song Std L" w:hint="eastAsia"/>
                <w:color w:val="000000" w:themeColor="text1"/>
                <w:szCs w:val="21"/>
              </w:rPr>
              <w:t>62</w:t>
            </w:r>
            <w:r w:rsidRPr="00AB2889">
              <w:rPr>
                <w:rFonts w:ascii="ＭＳ 明朝" w:eastAsia="ＭＳ 明朝" w:hAnsi="ＭＳ 明朝" w:cs="Adobe Song Std L"/>
                <w:color w:val="000000" w:themeColor="text1"/>
                <w:szCs w:val="21"/>
              </w:rPr>
              <w:t>～1</w:t>
            </w:r>
            <w:r w:rsidR="003E22C4">
              <w:rPr>
                <w:rFonts w:ascii="ＭＳ 明朝" w:eastAsia="ＭＳ 明朝" w:hAnsi="ＭＳ 明朝" w:cs="Adobe Song Std L" w:hint="eastAsia"/>
                <w:color w:val="000000" w:themeColor="text1"/>
                <w:szCs w:val="21"/>
              </w:rPr>
              <w:t>65</w:t>
            </w:r>
            <w:r w:rsidRPr="00AB2889">
              <w:rPr>
                <w:rFonts w:ascii="ＭＳ 明朝" w:eastAsia="ＭＳ 明朝" w:hAnsi="ＭＳ 明朝" w:cs="Adobe Song Std L"/>
                <w:color w:val="000000" w:themeColor="text1"/>
                <w:szCs w:val="21"/>
              </w:rPr>
              <w:t>)</w:t>
            </w:r>
          </w:p>
        </w:tc>
      </w:tr>
      <w:tr w:rsidR="005B3198" w:rsidRPr="002C0F0A" w14:paraId="02D08B93" w14:textId="72477F84" w:rsidTr="009049EE">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DEEAF6" w:themeFill="accent5" w:themeFillTint="33"/>
            <w:textDirection w:val="tbRlV"/>
            <w:vAlign w:val="center"/>
          </w:tcPr>
          <w:p w14:paraId="667564E8"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lastRenderedPageBreak/>
              <w:t>組織・配列・分量</w:t>
            </w:r>
          </w:p>
        </w:tc>
        <w:tc>
          <w:tcPr>
            <w:tcW w:w="3116" w:type="dxa"/>
            <w:tcBorders>
              <w:top w:val="single" w:sz="2" w:space="0" w:color="6D6E71"/>
              <w:left w:val="single" w:sz="2" w:space="0" w:color="6D6E71"/>
              <w:bottom w:val="single" w:sz="2" w:space="0" w:color="6D6E71"/>
              <w:right w:val="single" w:sz="2" w:space="0" w:color="6D6E71"/>
            </w:tcBorders>
            <w:shd w:val="clear" w:color="auto" w:fill="DEEAF6" w:themeFill="accent5" w:themeFillTint="33"/>
          </w:tcPr>
          <w:p w14:paraId="40ACF378" w14:textId="43C2315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＊内容の組織・配列は，学習指導を有効に進められるように考慮されているか。</w:t>
            </w:r>
          </w:p>
          <w:p w14:paraId="46051E9B" w14:textId="0BEB8B49"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＊分量は学習指導を有効に進められるように考慮され，精選されているか。</w:t>
            </w:r>
          </w:p>
          <w:p w14:paraId="4D73FC3F" w14:textId="664B173B"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＊中高の接続に対する配慮がなされているか。</w:t>
            </w:r>
          </w:p>
          <w:p w14:paraId="75A0D1DA" w14:textId="69C7169C"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＊弾力的な取り扱いに対する配慮がなされているか。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DEEAF6" w:themeFill="accent5" w:themeFillTint="33"/>
          </w:tcPr>
          <w:p w14:paraId="6048E83E" w14:textId="0EBA8224" w:rsidR="00AB2889" w:rsidRPr="00AB2889" w:rsidRDefault="00AB2889" w:rsidP="00AB2889">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学習指導要領に示された「内容」と「内容の取扱い」に準拠していて，生徒の実態に即した必要かつ十分な内容が適切に組織・配列されている。</w:t>
            </w:r>
          </w:p>
          <w:p w14:paraId="6802786C" w14:textId="44DEEB87" w:rsidR="00AB2889" w:rsidRPr="00AB2889" w:rsidRDefault="00AB2889" w:rsidP="00AB2889">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導入は</w:t>
            </w:r>
            <w:r w:rsidR="003E22C4">
              <w:rPr>
                <w:rFonts w:ascii="ＭＳ 明朝" w:eastAsia="ＭＳ 明朝" w:hAnsi="ＭＳ 明朝" w:cs="Adobe Song Std L" w:hint="eastAsia"/>
                <w:color w:val="000000" w:themeColor="text1"/>
                <w:szCs w:val="21"/>
              </w:rPr>
              <w:t>，生徒の身近な場面の</w:t>
            </w:r>
            <w:r w:rsidRPr="00AB2889">
              <w:rPr>
                <w:rFonts w:ascii="ＭＳ 明朝" w:eastAsia="ＭＳ 明朝" w:hAnsi="ＭＳ 明朝" w:cs="Adobe Song Std L" w:hint="eastAsia"/>
                <w:color w:val="000000" w:themeColor="text1"/>
                <w:szCs w:val="21"/>
              </w:rPr>
              <w:t>具体例から入り一般化されており，学習の意義や有用性を重視した構成になっている。</w:t>
            </w:r>
          </w:p>
          <w:p w14:paraId="41D2C8A3" w14:textId="437A1E98" w:rsidR="00AB2889" w:rsidRDefault="00AB2889" w:rsidP="00AB2889">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序章</w:t>
            </w:r>
            <w:r w:rsidR="003E22C4">
              <w:rPr>
                <w:rFonts w:ascii="ＭＳ 明朝" w:eastAsia="ＭＳ 明朝" w:hAnsi="ＭＳ 明朝" w:cs="Adobe Song Std L" w:hint="eastAsia"/>
                <w:color w:val="000000" w:themeColor="text1"/>
                <w:szCs w:val="21"/>
              </w:rPr>
              <w:t>の「数の計算」」では</w:t>
            </w:r>
            <w:r w:rsidRPr="00AB2889">
              <w:rPr>
                <w:rFonts w:ascii="ＭＳ 明朝" w:eastAsia="ＭＳ 明朝" w:hAnsi="ＭＳ 明朝" w:cs="Adobe Song Std L" w:hint="eastAsia"/>
                <w:color w:val="000000" w:themeColor="text1"/>
                <w:szCs w:val="21"/>
              </w:rPr>
              <w:t>，</w:t>
            </w:r>
            <w:r w:rsidR="003E22C4">
              <w:rPr>
                <w:rFonts w:ascii="ＭＳ 明朝" w:eastAsia="ＭＳ 明朝" w:hAnsi="ＭＳ 明朝" w:cs="Adobe Song Std L" w:hint="eastAsia"/>
                <w:color w:val="000000" w:themeColor="text1"/>
                <w:szCs w:val="21"/>
              </w:rPr>
              <w:t>小・</w:t>
            </w:r>
            <w:r w:rsidRPr="00AB2889">
              <w:rPr>
                <w:rFonts w:ascii="ＭＳ 明朝" w:eastAsia="ＭＳ 明朝" w:hAnsi="ＭＳ 明朝" w:cs="Adobe Song Std L" w:hint="eastAsia"/>
                <w:color w:val="000000" w:themeColor="text1"/>
                <w:szCs w:val="21"/>
              </w:rPr>
              <w:t>中学校の基礎計算に加え，</w:t>
            </w:r>
            <w:r w:rsidR="003E22C4">
              <w:rPr>
                <w:rFonts w:ascii="ＭＳ 明朝" w:eastAsia="ＭＳ 明朝" w:hAnsi="ＭＳ 明朝" w:cs="Adobe Song Std L" w:hint="eastAsia"/>
                <w:color w:val="000000" w:themeColor="text1"/>
                <w:szCs w:val="21"/>
              </w:rPr>
              <w:t>公倍数，公約数，割合，速さ，四捨五入</w:t>
            </w:r>
            <w:r w:rsidRPr="00AB2889">
              <w:rPr>
                <w:rFonts w:ascii="ＭＳ 明朝" w:eastAsia="ＭＳ 明朝" w:hAnsi="ＭＳ 明朝" w:cs="Adobe Song Std L" w:hint="eastAsia"/>
                <w:color w:val="000000" w:themeColor="text1"/>
                <w:szCs w:val="21"/>
              </w:rPr>
              <w:t>も扱い，高校数学にスムーズに移行できるように配慮されている。</w:t>
            </w:r>
            <w:r w:rsidRPr="00AB2889">
              <w:rPr>
                <w:rFonts w:ascii="ＭＳ 明朝" w:eastAsia="ＭＳ 明朝" w:hAnsi="ＭＳ 明朝" w:cs="Adobe Song Std L"/>
                <w:color w:val="000000" w:themeColor="text1"/>
                <w:szCs w:val="21"/>
              </w:rPr>
              <w:t>(p.</w:t>
            </w:r>
            <w:r w:rsidR="003E22C4">
              <w:rPr>
                <w:rFonts w:ascii="ＭＳ 明朝" w:eastAsia="ＭＳ 明朝" w:hAnsi="ＭＳ 明朝" w:cs="Adobe Song Std L" w:hint="eastAsia"/>
                <w:color w:val="000000" w:themeColor="text1"/>
                <w:szCs w:val="21"/>
              </w:rPr>
              <w:t>3</w:t>
            </w:r>
            <w:r w:rsidRPr="00AB2889">
              <w:rPr>
                <w:rFonts w:ascii="ＭＳ 明朝" w:eastAsia="ＭＳ 明朝" w:hAnsi="ＭＳ 明朝" w:cs="Adobe Song Std L"/>
                <w:color w:val="000000" w:themeColor="text1"/>
                <w:szCs w:val="21"/>
              </w:rPr>
              <w:t>～</w:t>
            </w:r>
            <w:r w:rsidR="003E22C4">
              <w:rPr>
                <w:rFonts w:ascii="ＭＳ 明朝" w:eastAsia="ＭＳ 明朝" w:hAnsi="ＭＳ 明朝" w:cs="Adobe Song Std L" w:hint="eastAsia"/>
                <w:color w:val="000000" w:themeColor="text1"/>
                <w:szCs w:val="21"/>
              </w:rPr>
              <w:t>30</w:t>
            </w:r>
            <w:r w:rsidRPr="00AB2889">
              <w:rPr>
                <w:rFonts w:ascii="ＭＳ 明朝" w:eastAsia="ＭＳ 明朝" w:hAnsi="ＭＳ 明朝" w:cs="Adobe Song Std L"/>
                <w:color w:val="000000" w:themeColor="text1"/>
                <w:szCs w:val="21"/>
              </w:rPr>
              <w:t>)</w:t>
            </w:r>
          </w:p>
          <w:p w14:paraId="3EF487E2" w14:textId="3145E82A" w:rsidR="001218AD" w:rsidRPr="00AB2889" w:rsidRDefault="001218AD" w:rsidP="00AB2889">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各節や項の導入で中学校の復習を取り上げるなど，中学校までの学習が未消化な生徒に配慮されている。</w:t>
            </w:r>
          </w:p>
          <w:p w14:paraId="63FD2DBD" w14:textId="61E869A6" w:rsidR="005B3198" w:rsidRPr="00C1378B" w:rsidRDefault="00AB2889" w:rsidP="001218AD">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巻末には</w:t>
            </w:r>
            <w:r w:rsidR="003E22C4">
              <w:rPr>
                <w:rFonts w:ascii="ＭＳ 明朝" w:eastAsia="ＭＳ 明朝" w:hAnsi="ＭＳ 明朝" w:cs="Adobe Song Std L" w:hint="eastAsia"/>
                <w:color w:val="000000" w:themeColor="text1"/>
                <w:szCs w:val="21"/>
              </w:rPr>
              <w:t>索引が配置され，</w:t>
            </w:r>
            <w:r w:rsidR="003E22C4" w:rsidRPr="003E22C4">
              <w:rPr>
                <w:rFonts w:ascii="ＭＳ 明朝" w:eastAsia="ＭＳ 明朝" w:hAnsi="ＭＳ 明朝" w:cs="Adobe Song Std L" w:hint="eastAsia"/>
                <w:color w:val="000000" w:themeColor="text1"/>
                <w:szCs w:val="21"/>
              </w:rPr>
              <w:t>検索性を高めてい</w:t>
            </w:r>
            <w:r w:rsidR="003E22C4">
              <w:rPr>
                <w:rFonts w:ascii="ＭＳ 明朝" w:eastAsia="ＭＳ 明朝" w:hAnsi="ＭＳ 明朝" w:cs="Adobe Song Std L" w:hint="eastAsia"/>
                <w:color w:val="000000" w:themeColor="text1"/>
                <w:szCs w:val="21"/>
              </w:rPr>
              <w:t>る</w:t>
            </w:r>
            <w:r w:rsidR="003E22C4" w:rsidRPr="003E22C4">
              <w:rPr>
                <w:rFonts w:ascii="ＭＳ 明朝" w:eastAsia="ＭＳ 明朝" w:hAnsi="ＭＳ 明朝" w:cs="Adobe Song Std L" w:hint="eastAsia"/>
                <w:color w:val="000000" w:themeColor="text1"/>
                <w:szCs w:val="21"/>
              </w:rPr>
              <w:t>。</w:t>
            </w:r>
            <w:r w:rsidR="001218AD">
              <w:rPr>
                <w:rFonts w:ascii="ＭＳ 明朝" w:eastAsia="ＭＳ 明朝" w:hAnsi="ＭＳ 明朝" w:cs="Adobe Song Std L" w:hint="eastAsia"/>
                <w:color w:val="000000" w:themeColor="text1"/>
                <w:szCs w:val="21"/>
              </w:rPr>
              <w:t>また，</w:t>
            </w:r>
            <w:r w:rsidR="003E22C4" w:rsidRPr="003E22C4">
              <w:rPr>
                <w:rFonts w:ascii="ＭＳ 明朝" w:eastAsia="ＭＳ 明朝" w:hAnsi="ＭＳ 明朝" w:cs="Adobe Song Std L" w:hint="eastAsia"/>
                <w:color w:val="000000" w:themeColor="text1"/>
                <w:szCs w:val="21"/>
              </w:rPr>
              <w:t>用語にはふりがなを付し，記号も取り上げてい</w:t>
            </w:r>
            <w:r w:rsidR="001218AD">
              <w:rPr>
                <w:rFonts w:ascii="ＭＳ 明朝" w:eastAsia="ＭＳ 明朝" w:hAnsi="ＭＳ 明朝" w:cs="Adobe Song Std L" w:hint="eastAsia"/>
                <w:color w:val="000000" w:themeColor="text1"/>
                <w:szCs w:val="21"/>
              </w:rPr>
              <w:t>る。（p.168～169）</w:t>
            </w:r>
          </w:p>
        </w:tc>
      </w:tr>
      <w:tr w:rsidR="005B3198" w:rsidRPr="002C0F0A" w14:paraId="0190FB83" w14:textId="134720AF" w:rsidTr="003D33EB">
        <w:trPr>
          <w:cantSplit/>
        </w:trPr>
        <w:tc>
          <w:tcPr>
            <w:tcW w:w="567" w:type="dxa"/>
            <w:tcBorders>
              <w:top w:val="single" w:sz="2" w:space="0" w:color="6D6E71"/>
              <w:left w:val="single" w:sz="2" w:space="0" w:color="6D6E71"/>
              <w:bottom w:val="single" w:sz="2" w:space="0" w:color="6D6E71"/>
              <w:right w:val="single" w:sz="2" w:space="0" w:color="6D6E71"/>
            </w:tcBorders>
            <w:tcMar>
              <w:left w:w="0" w:type="dxa"/>
              <w:right w:w="0" w:type="dxa"/>
            </w:tcMar>
            <w:textDirection w:val="tbRlV"/>
            <w:vAlign w:val="center"/>
          </w:tcPr>
          <w:p w14:paraId="251F7E8E" w14:textId="77777777" w:rsidR="005B3198" w:rsidRDefault="005B3198" w:rsidP="00110BE9">
            <w:pPr>
              <w:adjustRightInd w:val="0"/>
              <w:snapToGrid w:val="0"/>
              <w:ind w:leftChars="300" w:left="630"/>
              <w:rPr>
                <w:rFonts w:ascii="ＭＳ Ｐゴシック" w:eastAsia="ＭＳ Ｐゴシック" w:hAnsi="ＭＳ Ｐゴシック" w:cs="Adobe Song Std L"/>
                <w:color w:val="231F20"/>
                <w:w w:val="101"/>
                <w:szCs w:val="21"/>
              </w:rPr>
            </w:pPr>
            <w:r w:rsidRPr="002C0F0A">
              <w:rPr>
                <w:rFonts w:ascii="ＭＳ Ｐゴシック" w:eastAsia="ＭＳ Ｐゴシック" w:hAnsi="ＭＳ Ｐゴシック" w:cs="Adobe Song Std L"/>
                <w:color w:val="231F20"/>
                <w:w w:val="101"/>
                <w:szCs w:val="21"/>
              </w:rPr>
              <w:t>表記・表現及び指導に対する</w:t>
            </w:r>
          </w:p>
          <w:p w14:paraId="158726B3" w14:textId="156D81F6" w:rsidR="005B3198" w:rsidRPr="002C0F0A" w:rsidRDefault="005B3198" w:rsidP="005B3198">
            <w:pPr>
              <w:adjustRightInd w:val="0"/>
              <w:snapToGrid w:val="0"/>
              <w:ind w:leftChars="300" w:left="630"/>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工夫や配慮</w:t>
            </w:r>
          </w:p>
        </w:tc>
        <w:tc>
          <w:tcPr>
            <w:tcW w:w="3116" w:type="dxa"/>
            <w:tcBorders>
              <w:top w:val="single" w:sz="2" w:space="0" w:color="6D6E71"/>
              <w:left w:val="single" w:sz="2" w:space="0" w:color="6D6E71"/>
              <w:bottom w:val="single" w:sz="2" w:space="0" w:color="6D6E71"/>
              <w:right w:val="single" w:sz="2" w:space="0" w:color="6D6E71"/>
            </w:tcBorders>
          </w:tcPr>
          <w:p w14:paraId="7CE45F84" w14:textId="46FE6C8C"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＊学習意欲を高めるための配慮がなされているか。</w:t>
            </w:r>
          </w:p>
          <w:p w14:paraId="60314E87" w14:textId="29971C77"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＊用語・記号の取り上げ方や記述のしかたは適切か。</w:t>
            </w:r>
          </w:p>
          <w:p w14:paraId="5E9E6962" w14:textId="252BC06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＊生徒の自学自習への配慮や工夫がなされているか。</w:t>
            </w:r>
          </w:p>
          <w:p w14:paraId="7E3DB45B" w14:textId="1A80C141"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＊指導書や周辺教材での工夫や配慮がなされているか。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1F955679" w14:textId="43270BF2" w:rsidR="00AB2889" w:rsidRPr="00AB2889" w:rsidRDefault="00AB2889" w:rsidP="00AB2889">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大判（</w:t>
            </w:r>
            <w:r w:rsidRPr="00AB2889">
              <w:rPr>
                <w:rFonts w:ascii="ＭＳ 明朝" w:eastAsia="ＭＳ 明朝" w:hAnsi="ＭＳ 明朝" w:cs="Adobe Song Std L"/>
                <w:color w:val="000000" w:themeColor="text1"/>
                <w:szCs w:val="21"/>
              </w:rPr>
              <w:t>B5判）でかつ見開き２ページ構成と，見やすく，学習しやすいように編集されている。</w:t>
            </w:r>
          </w:p>
          <w:p w14:paraId="3F23311B" w14:textId="096EDA45" w:rsidR="00AB2889" w:rsidRPr="00AB2889" w:rsidRDefault="00AB2889" w:rsidP="00AB2889">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全編を通して本文の理解を助けるように，図，イラスト，写真が多用されている。</w:t>
            </w:r>
          </w:p>
          <w:p w14:paraId="441FA7C8" w14:textId="612C8F1A" w:rsidR="00AB2889" w:rsidRPr="00AB2889" w:rsidRDefault="00AB2889" w:rsidP="00AB2889">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本文は，文節の区切りで改行され</w:t>
            </w:r>
            <w:r w:rsidR="001218AD">
              <w:rPr>
                <w:rFonts w:ascii="ＭＳ 明朝" w:eastAsia="ＭＳ 明朝" w:hAnsi="ＭＳ 明朝" w:cs="Adobe Song Std L" w:hint="eastAsia"/>
                <w:color w:val="000000" w:themeColor="text1"/>
                <w:szCs w:val="21"/>
              </w:rPr>
              <w:t>，漢字にはふりがなが付され</w:t>
            </w:r>
            <w:r w:rsidRPr="00AB2889">
              <w:rPr>
                <w:rFonts w:ascii="ＭＳ 明朝" w:eastAsia="ＭＳ 明朝" w:hAnsi="ＭＳ 明朝" w:cs="Adobe Song Std L" w:hint="eastAsia"/>
                <w:color w:val="000000" w:themeColor="text1"/>
                <w:szCs w:val="21"/>
              </w:rPr>
              <w:t>ており，文章が読み取りやすくなっている。</w:t>
            </w:r>
          </w:p>
          <w:p w14:paraId="0D748EBB" w14:textId="53C23664" w:rsidR="00AB2889" w:rsidRPr="00AB2889" w:rsidRDefault="00AB2889" w:rsidP="00AB2889">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色を適切に使い，視覚的に理解をサポートするように配慮されている。</w:t>
            </w:r>
          </w:p>
          <w:p w14:paraId="4B946510" w14:textId="55B86A2B" w:rsidR="00AB2889" w:rsidRPr="00AB2889" w:rsidRDefault="001218AD" w:rsidP="00AB2889">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00AB2889" w:rsidRPr="00AB2889">
              <w:rPr>
                <w:rFonts w:ascii="ＭＳ 明朝" w:eastAsia="ＭＳ 明朝" w:hAnsi="ＭＳ 明朝" w:cs="Adobe Song Std L" w:hint="eastAsia"/>
                <w:color w:val="000000" w:themeColor="text1"/>
                <w:szCs w:val="21"/>
              </w:rPr>
              <w:t>用語・記号は統一されており，記述の仕方も適切である。</w:t>
            </w:r>
          </w:p>
          <w:p w14:paraId="46CE5B40" w14:textId="6E2D5C51" w:rsidR="00AB2889" w:rsidRPr="00AB2889" w:rsidRDefault="00AB2889" w:rsidP="00AB2889">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各章末の「章のまとめ」では，学習した重要事項が確認できるようになっている。</w:t>
            </w:r>
          </w:p>
          <w:p w14:paraId="4C5204DA" w14:textId="15B94288" w:rsidR="005B3198" w:rsidRPr="00C1378B" w:rsidRDefault="00AB2889" w:rsidP="001218AD">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001218AD">
              <w:rPr>
                <w:rFonts w:ascii="ＭＳ 明朝" w:eastAsia="ＭＳ 明朝" w:hAnsi="ＭＳ 明朝" w:cs="Adobe Song Std L" w:hint="eastAsia"/>
                <w:color w:val="000000" w:themeColor="text1"/>
                <w:szCs w:val="21"/>
              </w:rPr>
              <w:t>別冊で</w:t>
            </w:r>
            <w:r w:rsidRPr="00AB2889">
              <w:rPr>
                <w:rFonts w:ascii="ＭＳ 明朝" w:eastAsia="ＭＳ 明朝" w:hAnsi="ＭＳ 明朝" w:cs="Adobe Song Std L" w:hint="eastAsia"/>
                <w:color w:val="000000" w:themeColor="text1"/>
                <w:szCs w:val="21"/>
              </w:rPr>
              <w:t>，本書内で扱われているすべての問題に対する</w:t>
            </w:r>
            <w:r w:rsidR="001218AD">
              <w:rPr>
                <w:rFonts w:ascii="ＭＳ 明朝" w:eastAsia="ＭＳ 明朝" w:hAnsi="ＭＳ 明朝" w:cs="Adobe Song Std L" w:hint="eastAsia"/>
                <w:color w:val="000000" w:themeColor="text1"/>
                <w:szCs w:val="21"/>
              </w:rPr>
              <w:t>詳しい</w:t>
            </w:r>
            <w:r w:rsidRPr="00AB2889">
              <w:rPr>
                <w:rFonts w:ascii="ＭＳ 明朝" w:eastAsia="ＭＳ 明朝" w:hAnsi="ＭＳ 明朝" w:cs="Adobe Song Std L" w:hint="eastAsia"/>
                <w:color w:val="000000" w:themeColor="text1"/>
                <w:szCs w:val="21"/>
              </w:rPr>
              <w:t>解答が掲載されており，自学自習できるよう配慮が行き届いている。</w:t>
            </w:r>
          </w:p>
        </w:tc>
      </w:tr>
      <w:tr w:rsidR="005B3198" w:rsidRPr="002C0F0A" w14:paraId="7813244F" w14:textId="4606CFD1" w:rsidTr="009049EE">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DEEAF6" w:themeFill="accent5" w:themeFillTint="33"/>
            <w:textDirection w:val="tbRlV"/>
            <w:vAlign w:val="center"/>
          </w:tcPr>
          <w:p w14:paraId="320D7BAD" w14:textId="775F5E0C"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印刷・造本上の</w:t>
            </w:r>
            <w:r>
              <w:rPr>
                <w:rFonts w:ascii="ＭＳ Ｐゴシック" w:eastAsia="ＭＳ Ｐゴシック" w:hAnsi="ＭＳ Ｐゴシック" w:cs="Adobe Song Std L" w:hint="eastAsia"/>
                <w:color w:val="231F20"/>
                <w:w w:val="101"/>
                <w:szCs w:val="21"/>
              </w:rPr>
              <w:t>配慮</w:t>
            </w:r>
          </w:p>
        </w:tc>
        <w:tc>
          <w:tcPr>
            <w:tcW w:w="3116" w:type="dxa"/>
            <w:tcBorders>
              <w:top w:val="single" w:sz="2" w:space="0" w:color="6D6E71"/>
              <w:left w:val="single" w:sz="2" w:space="0" w:color="6D6E71"/>
              <w:bottom w:val="single" w:sz="2" w:space="0" w:color="6D6E71"/>
              <w:right w:val="single" w:sz="2" w:space="0" w:color="6D6E71"/>
            </w:tcBorders>
            <w:shd w:val="clear" w:color="auto" w:fill="DEEAF6" w:themeFill="accent5" w:themeFillTint="33"/>
          </w:tcPr>
          <w:p w14:paraId="4A4E6055" w14:textId="6E98D604"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＊印刷の鮮明さ，活字の大きさ，行間，製本などは適切か。</w:t>
            </w:r>
          </w:p>
          <w:p w14:paraId="3BD282F8" w14:textId="78575242"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＊環境保全や生徒の多様な特性に配慮がなされているか。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DEEAF6" w:themeFill="accent5" w:themeFillTint="33"/>
          </w:tcPr>
          <w:p w14:paraId="1F8195AF"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●活字はユニバーサルデザインで美しく，写真，挿し絵も鮮明で効果的である。</w:t>
            </w:r>
          </w:p>
          <w:p w14:paraId="4958189D"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●製本は堅牢で，開きやすい様式である。</w:t>
            </w:r>
          </w:p>
          <w:p w14:paraId="53B52829" w14:textId="6D016E4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●図やグラフの色使いなど，色覚特性への配慮を含むユニバーサルデザインとなっており，全ページにわたって配色を工夫するなど，だれもが見やすい紙面になっている。</w:t>
            </w:r>
          </w:p>
          <w:p w14:paraId="154AF7DA" w14:textId="230188A0"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●本文の用紙には再生紙と植物油インキを使用し，印刷業界団体が定めた環境配慮基準を満たす「グリーンプリンティング設定工場」で印刷するなど，地球環境や資源に及ぼす影響も考慮されている。</w:t>
            </w:r>
          </w:p>
        </w:tc>
      </w:tr>
      <w:tr w:rsidR="005B3198" w:rsidRPr="002C0F0A" w14:paraId="558625F4" w14:textId="7A170A24"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652A6D65"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総合所見</w:t>
            </w:r>
          </w:p>
        </w:tc>
        <w:tc>
          <w:tcPr>
            <w:tcW w:w="3116" w:type="dxa"/>
            <w:tcBorders>
              <w:top w:val="single" w:sz="2" w:space="0" w:color="6D6E71"/>
              <w:left w:val="single" w:sz="2" w:space="0" w:color="6D6E71"/>
              <w:bottom w:val="single" w:sz="2" w:space="0" w:color="6D6E71"/>
              <w:right w:val="single" w:sz="2" w:space="0" w:color="6D6E71"/>
            </w:tcBorders>
          </w:tcPr>
          <w:p w14:paraId="27B398C1" w14:textId="53F7919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＊上記観点から見た，全体的・総合的な当教科書の特徴</w:t>
            </w:r>
          </w:p>
        </w:tc>
        <w:tc>
          <w:tcPr>
            <w:tcW w:w="7087" w:type="dxa"/>
            <w:tcBorders>
              <w:top w:val="single" w:sz="2" w:space="0" w:color="6D6E71"/>
              <w:left w:val="single" w:sz="2" w:space="0" w:color="6D6E71"/>
              <w:bottom w:val="single" w:sz="2" w:space="0" w:color="6D6E71"/>
              <w:right w:val="single" w:sz="2" w:space="0" w:color="6D6E71"/>
            </w:tcBorders>
          </w:tcPr>
          <w:p w14:paraId="2FF7EE85" w14:textId="1E56C53A"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w:t>
            </w:r>
            <w:r w:rsidR="00AB2889" w:rsidRPr="00AB2889">
              <w:rPr>
                <w:rFonts w:ascii="ＭＳ 明朝" w:eastAsia="ＭＳ 明朝" w:hAnsi="ＭＳ 明朝" w:cs="Adobe Song Std L" w:hint="eastAsia"/>
                <w:color w:val="000000" w:themeColor="text1"/>
                <w:szCs w:val="21"/>
              </w:rPr>
              <w:t>必要事項をコンパクトにまとめ，大判（</w:t>
            </w:r>
            <w:r w:rsidR="00AB2889" w:rsidRPr="00AB2889">
              <w:rPr>
                <w:rFonts w:ascii="ＭＳ 明朝" w:eastAsia="ＭＳ 明朝" w:hAnsi="ＭＳ 明朝" w:cs="Adobe Song Std L"/>
                <w:color w:val="000000" w:themeColor="text1"/>
                <w:szCs w:val="21"/>
              </w:rPr>
              <w:t>B5判）のメリットを効果的に活用した紙面構成，例・例題を参考にすれば問題が解けるようにした構成上の工夫など，全体を通して問題が解けることで数学の楽しさが体感できるように編集された教科書である。</w:t>
            </w:r>
          </w:p>
        </w:tc>
      </w:tr>
    </w:tbl>
    <w:p w14:paraId="04BFC992" w14:textId="22607B29" w:rsidR="00D0453D" w:rsidRPr="003D33EB" w:rsidRDefault="003D33EB" w:rsidP="003D33EB">
      <w:pPr>
        <w:jc w:val="right"/>
        <w:rPr>
          <w:rFonts w:ascii="ＭＳ 明朝" w:eastAsia="ＭＳ 明朝" w:hAnsi="ＭＳ 明朝"/>
          <w:sz w:val="18"/>
          <w:szCs w:val="18"/>
        </w:rPr>
      </w:pPr>
      <w:r w:rsidRPr="003D33EB">
        <w:rPr>
          <w:rFonts w:ascii="ＭＳ 明朝" w:eastAsia="ＭＳ 明朝" w:hAnsi="ＭＳ 明朝" w:hint="eastAsia"/>
          <w:sz w:val="18"/>
          <w:szCs w:val="18"/>
        </w:rPr>
        <w:t>この資料は，一般社団法人教科書協会「教科書発行者行動規範」に</w:t>
      </w:r>
      <w:r w:rsidRPr="003D33EB">
        <w:rPr>
          <w:rFonts w:ascii="ＭＳ 明朝" w:eastAsia="ＭＳ 明朝" w:hAnsi="ＭＳ 明朝"/>
          <w:sz w:val="18"/>
          <w:szCs w:val="18"/>
        </w:rPr>
        <w:t>則っております。</w:t>
      </w:r>
    </w:p>
    <w:sectPr w:rsidR="00D0453D" w:rsidRPr="003D33EB" w:rsidSect="002C0F0A">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C4FED" w14:textId="77777777" w:rsidR="0071645B" w:rsidRDefault="0071645B" w:rsidP="00E91010">
      <w:r>
        <w:separator/>
      </w:r>
    </w:p>
  </w:endnote>
  <w:endnote w:type="continuationSeparator" w:id="0">
    <w:p w14:paraId="07C394AB" w14:textId="77777777" w:rsidR="0071645B" w:rsidRDefault="0071645B" w:rsidP="00E9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ゴシックMB101 Pro L">
    <w:altName w:val="A-OTF ゴシックMB101 Pro L"/>
    <w:panose1 w:val="020B0300000000000000"/>
    <w:charset w:val="80"/>
    <w:family w:val="swiss"/>
    <w:notTrueType/>
    <w:pitch w:val="variable"/>
    <w:sig w:usb0="A00002FF" w:usb1="68C7FEFF" w:usb2="00000012" w:usb3="00000000" w:csb0="00020005" w:csb1="00000000"/>
  </w:font>
  <w:font w:name="Adobe Song Std L">
    <w:altName w:val="Adobe Song Std L"/>
    <w:panose1 w:val="02020300000000000000"/>
    <w:charset w:val="80"/>
    <w:family w:val="roman"/>
    <w:notTrueType/>
    <w:pitch w:val="variable"/>
    <w:sig w:usb0="00000207"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8F4D7" w14:textId="77777777" w:rsidR="0071645B" w:rsidRDefault="0071645B" w:rsidP="00E91010">
      <w:r>
        <w:separator/>
      </w:r>
    </w:p>
  </w:footnote>
  <w:footnote w:type="continuationSeparator" w:id="0">
    <w:p w14:paraId="417C16D8" w14:textId="77777777" w:rsidR="0071645B" w:rsidRDefault="0071645B" w:rsidP="00E91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0A"/>
    <w:rsid w:val="00106A58"/>
    <w:rsid w:val="00110BE9"/>
    <w:rsid w:val="001218AD"/>
    <w:rsid w:val="0026401B"/>
    <w:rsid w:val="0029523B"/>
    <w:rsid w:val="002C0F0A"/>
    <w:rsid w:val="003D33EB"/>
    <w:rsid w:val="003E22C4"/>
    <w:rsid w:val="005B3198"/>
    <w:rsid w:val="0060105E"/>
    <w:rsid w:val="0071645B"/>
    <w:rsid w:val="007B2E68"/>
    <w:rsid w:val="009049EE"/>
    <w:rsid w:val="00A5537A"/>
    <w:rsid w:val="00AB2889"/>
    <w:rsid w:val="00C1378B"/>
    <w:rsid w:val="00D0453D"/>
    <w:rsid w:val="00D829B6"/>
    <w:rsid w:val="00DA0F64"/>
    <w:rsid w:val="00E91010"/>
    <w:rsid w:val="00F3211E"/>
    <w:rsid w:val="00FC02B1"/>
    <w:rsid w:val="00FC6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ED260"/>
  <w15:chartTrackingRefBased/>
  <w15:docId w15:val="{57BAE198-2C58-49CD-B866-2EF0ADA2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010"/>
    <w:pPr>
      <w:tabs>
        <w:tab w:val="center" w:pos="4252"/>
        <w:tab w:val="right" w:pos="8504"/>
      </w:tabs>
      <w:snapToGrid w:val="0"/>
    </w:pPr>
  </w:style>
  <w:style w:type="character" w:customStyle="1" w:styleId="a4">
    <w:name w:val="ヘッダー (文字)"/>
    <w:basedOn w:val="a0"/>
    <w:link w:val="a3"/>
    <w:uiPriority w:val="99"/>
    <w:rsid w:val="00E91010"/>
  </w:style>
  <w:style w:type="paragraph" w:styleId="a5">
    <w:name w:val="footer"/>
    <w:basedOn w:val="a"/>
    <w:link w:val="a6"/>
    <w:uiPriority w:val="99"/>
    <w:unhideWhenUsed/>
    <w:rsid w:val="00E91010"/>
    <w:pPr>
      <w:tabs>
        <w:tab w:val="center" w:pos="4252"/>
        <w:tab w:val="right" w:pos="8504"/>
      </w:tabs>
      <w:snapToGrid w:val="0"/>
    </w:pPr>
  </w:style>
  <w:style w:type="character" w:customStyle="1" w:styleId="a6">
    <w:name w:val="フッター (文字)"/>
    <w:basedOn w:val="a0"/>
    <w:link w:val="a5"/>
    <w:uiPriority w:val="99"/>
    <w:rsid w:val="00E9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374</Words>
  <Characters>2135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提橋 正一</dc:creator>
  <cp:keywords/>
  <dc:description/>
  <cp:lastModifiedBy>提橋 正一</cp:lastModifiedBy>
  <cp:revision>5</cp:revision>
  <dcterms:created xsi:type="dcterms:W3CDTF">2021-04-30T16:31:00Z</dcterms:created>
  <dcterms:modified xsi:type="dcterms:W3CDTF">2021-04-30T17:21:00Z</dcterms:modified>
</cp:coreProperties>
</file>