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68E5E" w14:textId="6C672BE5" w:rsidR="002C0F0A" w:rsidRPr="003D33EB" w:rsidRDefault="00DA0F64" w:rsidP="003D33EB">
      <w:pPr>
        <w:adjustRightInd w:val="0"/>
        <w:snapToGrid w:val="0"/>
        <w:rPr>
          <w:rFonts w:ascii="ＭＳ Ｐゴシック" w:eastAsia="ＭＳ Ｐゴシック" w:hAnsi="ＭＳ Ｐゴシック"/>
          <w:sz w:val="28"/>
          <w:szCs w:val="28"/>
        </w:rPr>
      </w:pPr>
      <w:r w:rsidRPr="003D33EB">
        <w:rPr>
          <w:rFonts w:ascii="ＭＳ Ｐゴシック" w:eastAsia="ＭＳ Ｐゴシック" w:hAnsi="ＭＳ Ｐゴシック" w:hint="eastAsia"/>
          <w:sz w:val="28"/>
          <w:szCs w:val="28"/>
        </w:rPr>
        <w:t>◆</w:t>
      </w:r>
      <w:r w:rsidR="002C0F0A" w:rsidRPr="003D33EB">
        <w:rPr>
          <w:rFonts w:ascii="ＭＳ Ｐゴシック" w:eastAsia="ＭＳ Ｐゴシック" w:hAnsi="ＭＳ Ｐゴシック" w:hint="eastAsia"/>
          <w:sz w:val="28"/>
          <w:szCs w:val="28"/>
        </w:rPr>
        <w:t>ご検討の観点と内容の特色</w:t>
      </w:r>
      <w:r w:rsidRPr="003D33EB">
        <w:rPr>
          <w:rFonts w:ascii="ＭＳ Ｐゴシック" w:eastAsia="ＭＳ Ｐゴシック" w:hAnsi="ＭＳ Ｐゴシック" w:hint="eastAsia"/>
          <w:sz w:val="28"/>
          <w:szCs w:val="28"/>
        </w:rPr>
        <w:t>◆</w:t>
      </w:r>
    </w:p>
    <w:p w14:paraId="3E5F1A36" w14:textId="542297B3" w:rsidR="002C0F0A" w:rsidRPr="007B2E68" w:rsidRDefault="00436C24" w:rsidP="002C0F0A">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数学Ａ </w:t>
      </w:r>
      <w:r w:rsidR="0071529B">
        <w:rPr>
          <w:rFonts w:ascii="ＭＳ Ｐゴシック" w:eastAsia="ＭＳ Ｐゴシック" w:hAnsi="ＭＳ Ｐゴシック"/>
          <w:sz w:val="20"/>
          <w:szCs w:val="20"/>
        </w:rPr>
        <w:t>Select</w:t>
      </w:r>
      <w:r>
        <w:rPr>
          <w:rFonts w:ascii="ＭＳ Ｐゴシック" w:eastAsia="ＭＳ Ｐゴシック" w:hAnsi="ＭＳ Ｐゴシック" w:hint="eastAsia"/>
          <w:sz w:val="20"/>
          <w:szCs w:val="20"/>
        </w:rPr>
        <w:t>/</w:t>
      </w:r>
      <w:r w:rsidRPr="007B2E68">
        <w:rPr>
          <w:rFonts w:ascii="ＭＳ Ｐゴシック" w:eastAsia="ＭＳ Ｐゴシック" w:hAnsi="ＭＳ Ｐゴシック"/>
          <w:sz w:val="20"/>
          <w:szCs w:val="20"/>
        </w:rPr>
        <w:t>2東書・数</w:t>
      </w:r>
      <w:r w:rsidR="0071529B">
        <w:rPr>
          <w:rFonts w:ascii="ＭＳ Ｐゴシック" w:eastAsia="ＭＳ Ｐゴシック" w:hAnsi="ＭＳ Ｐゴシック"/>
          <w:sz w:val="20"/>
          <w:szCs w:val="20"/>
        </w:rPr>
        <w:t>A002-903</w:t>
      </w:r>
    </w:p>
    <w:p w14:paraId="7A342EBB" w14:textId="77777777" w:rsidR="003D33EB" w:rsidRPr="002C0F0A" w:rsidRDefault="003D33EB" w:rsidP="002C0F0A">
      <w:pPr>
        <w:jc w:val="right"/>
        <w:rPr>
          <w:rFonts w:ascii="ＭＳ Ｐゴシック" w:eastAsia="ＭＳ Ｐゴシック" w:hAnsi="ＭＳ Ｐゴシック"/>
          <w:szCs w:val="21"/>
        </w:rPr>
      </w:pPr>
    </w:p>
    <w:tbl>
      <w:tblPr>
        <w:tblW w:w="10770" w:type="dxa"/>
        <w:tblLayout w:type="fixed"/>
        <w:tblCellMar>
          <w:top w:w="57" w:type="dxa"/>
          <w:left w:w="57" w:type="dxa"/>
          <w:bottom w:w="57" w:type="dxa"/>
          <w:right w:w="57" w:type="dxa"/>
        </w:tblCellMar>
        <w:tblLook w:val="01E0" w:firstRow="1" w:lastRow="1" w:firstColumn="1" w:lastColumn="1" w:noHBand="0" w:noVBand="0"/>
      </w:tblPr>
      <w:tblGrid>
        <w:gridCol w:w="567"/>
        <w:gridCol w:w="3116"/>
        <w:gridCol w:w="7087"/>
      </w:tblGrid>
      <w:tr w:rsidR="003D33EB" w:rsidRPr="002C0F0A" w14:paraId="6F08A846" w14:textId="07910375" w:rsidTr="004238D5">
        <w:trPr>
          <w:cantSplit/>
          <w:tblHeader/>
        </w:trPr>
        <w:tc>
          <w:tcPr>
            <w:tcW w:w="567" w:type="dxa"/>
            <w:tcBorders>
              <w:top w:val="single" w:sz="2" w:space="0" w:color="58595B"/>
              <w:left w:val="single" w:sz="2" w:space="0" w:color="58595B"/>
              <w:bottom w:val="single" w:sz="2" w:space="0" w:color="6D6E71"/>
              <w:right w:val="single" w:sz="2" w:space="0" w:color="58595B"/>
            </w:tcBorders>
            <w:shd w:val="clear" w:color="auto" w:fill="27467D"/>
          </w:tcPr>
          <w:p w14:paraId="5B8849CD" w14:textId="1B8F2681" w:rsidR="003D33EB" w:rsidRPr="002C0F0A" w:rsidRDefault="003D33EB" w:rsidP="002C0F0A">
            <w:pPr>
              <w:adjustRightInd w:val="0"/>
              <w:ind w:leftChars="-50" w:left="-105" w:rightChars="-50" w:right="-105"/>
              <w:jc w:val="center"/>
              <w:rPr>
                <w:rFonts w:ascii="ＭＳ ゴシック" w:eastAsia="ＭＳ ゴシック" w:hAnsi="ＭＳ ゴシック" w:cs="A-OTF ゴシックMB101 Pro L"/>
                <w:szCs w:val="21"/>
              </w:rPr>
            </w:pPr>
            <w:r w:rsidRPr="002C0F0A">
              <w:rPr>
                <w:rFonts w:ascii="ＭＳ ゴシック" w:eastAsia="ＭＳ ゴシック" w:hAnsi="ＭＳ ゴシック" w:cs="A-OTF ゴシックMB101 Pro L"/>
                <w:color w:val="FFFFFF"/>
                <w:position w:val="-2"/>
                <w:szCs w:val="21"/>
              </w:rPr>
              <w:t>項</w:t>
            </w:r>
            <w:r w:rsidRPr="002C0F0A">
              <w:rPr>
                <w:rFonts w:ascii="ＭＳ ゴシック" w:eastAsia="ＭＳ ゴシック" w:hAnsi="ＭＳ ゴシック" w:cs="A-OTF ゴシックMB101 Pro L"/>
                <w:color w:val="FFFFFF"/>
                <w:w w:val="103"/>
                <w:position w:val="-2"/>
                <w:szCs w:val="21"/>
              </w:rPr>
              <w:t>目</w:t>
            </w:r>
          </w:p>
        </w:tc>
        <w:tc>
          <w:tcPr>
            <w:tcW w:w="3116" w:type="dxa"/>
            <w:tcBorders>
              <w:top w:val="single" w:sz="2" w:space="0" w:color="58595B"/>
              <w:left w:val="single" w:sz="2" w:space="0" w:color="58595B"/>
              <w:bottom w:val="single" w:sz="2" w:space="0" w:color="6D6E71"/>
              <w:right w:val="single" w:sz="2" w:space="0" w:color="58595B"/>
            </w:tcBorders>
            <w:shd w:val="clear" w:color="auto" w:fill="27467D"/>
          </w:tcPr>
          <w:p w14:paraId="16843044" w14:textId="5DC4D0B8"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w w:val="103"/>
                <w:szCs w:val="21"/>
              </w:rPr>
              <w:t>観点</w:t>
            </w:r>
          </w:p>
        </w:tc>
        <w:tc>
          <w:tcPr>
            <w:tcW w:w="7087" w:type="dxa"/>
            <w:tcBorders>
              <w:top w:val="single" w:sz="2" w:space="0" w:color="58595B"/>
              <w:left w:val="single" w:sz="2" w:space="0" w:color="58595B"/>
              <w:bottom w:val="single" w:sz="2" w:space="0" w:color="6D6E71"/>
              <w:right w:val="single" w:sz="2" w:space="0" w:color="58595B"/>
            </w:tcBorders>
            <w:shd w:val="clear" w:color="auto" w:fill="27467D"/>
          </w:tcPr>
          <w:p w14:paraId="683C5EAB" w14:textId="628802FA"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spacing w:val="16"/>
                <w:w w:val="103"/>
                <w:szCs w:val="21"/>
              </w:rPr>
              <w:t>内容の特</w:t>
            </w:r>
            <w:r w:rsidRPr="002C0F0A">
              <w:rPr>
                <w:rFonts w:ascii="ＭＳ ゴシック" w:eastAsia="ＭＳ ゴシック" w:hAnsi="ＭＳ ゴシック" w:cs="Adobe Song Std L"/>
                <w:color w:val="FFFFFF"/>
                <w:w w:val="103"/>
                <w:szCs w:val="21"/>
              </w:rPr>
              <w:t>色</w:t>
            </w:r>
          </w:p>
        </w:tc>
      </w:tr>
      <w:tr w:rsidR="005B3198" w:rsidRPr="002C0F0A" w14:paraId="2EE08739" w14:textId="31805C25" w:rsidTr="004238D5">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58C4ACF6"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内容の選択・程度</w:t>
            </w:r>
          </w:p>
        </w:tc>
        <w:tc>
          <w:tcPr>
            <w:tcW w:w="3116" w:type="dxa"/>
            <w:tcBorders>
              <w:top w:val="single" w:sz="2" w:space="0" w:color="6D6E71"/>
              <w:left w:val="single" w:sz="2" w:space="0" w:color="6D6E71"/>
              <w:bottom w:val="single" w:sz="2" w:space="0" w:color="6D6E71"/>
              <w:right w:val="single" w:sz="2" w:space="0" w:color="6D6E71"/>
            </w:tcBorders>
          </w:tcPr>
          <w:p w14:paraId="0C2C31C9" w14:textId="38D2E418"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＊学習指導要領の教科の目標を達成するため必要な教材が適切に用意されているか。</w:t>
            </w:r>
          </w:p>
          <w:p w14:paraId="167EAC63" w14:textId="0D85340E"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＊基礎的・基本的事項の理解や習得のため適切な配慮がなされているか。</w:t>
            </w:r>
          </w:p>
          <w:p w14:paraId="14A80691" w14:textId="4A2AAD90"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＊発展的な学習内容の取り扱いに対する適切な配慮がなされているか。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535EC927" w14:textId="01F9703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●基礎的・基本的な事項がコンパクトに網羅されている。また，例・例題と問のギャップをなくし，スムーズに授業が展開できるように工夫して編集されている。</w:t>
            </w:r>
          </w:p>
          <w:p w14:paraId="7657BD86" w14:textId="0D714E54"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●本文の問の末尾に節末問題と</w:t>
            </w:r>
            <w:r w:rsidR="003B29B4">
              <w:rPr>
                <w:rFonts w:ascii="ＭＳ 明朝" w:eastAsia="ＭＳ 明朝" w:hAnsi="ＭＳ 明朝" w:cs="Adobe Song Std L"/>
                <w:color w:val="000000" w:themeColor="text1"/>
                <w:szCs w:val="21"/>
              </w:rPr>
              <w:t>章末問題へのリンクマークが付され，追加問題が扱いやすくなるよう</w:t>
            </w:r>
            <w:r w:rsidRPr="00C1378B">
              <w:rPr>
                <w:rFonts w:ascii="ＭＳ 明朝" w:eastAsia="ＭＳ 明朝" w:hAnsi="ＭＳ 明朝" w:cs="Adobe Song Std L"/>
                <w:color w:val="000000" w:themeColor="text1"/>
                <w:szCs w:val="21"/>
              </w:rPr>
              <w:t>工夫されている。</w:t>
            </w:r>
          </w:p>
          <w:p w14:paraId="59EA961C" w14:textId="11C85A8E" w:rsidR="00DC6F20" w:rsidRDefault="00B657E2" w:rsidP="00DC6F20">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w:t>
            </w:r>
            <w:r w:rsidR="00DC6F20" w:rsidRPr="00C1378B">
              <w:rPr>
                <w:rFonts w:ascii="ＭＳ 明朝" w:eastAsia="ＭＳ 明朝" w:hAnsi="ＭＳ 明朝" w:cs="Adobe Song Std L"/>
                <w:color w:val="000000" w:themeColor="text1"/>
                <w:szCs w:val="21"/>
              </w:rPr>
              <w:t>「１章　場合の数と確率」</w:t>
            </w:r>
            <w:r w:rsidR="00DC6F20">
              <w:rPr>
                <w:rFonts w:ascii="ＭＳ 明朝" w:eastAsia="ＭＳ 明朝" w:hAnsi="ＭＳ 明朝" w:cs="Adobe Song Std L" w:hint="eastAsia"/>
                <w:color w:val="000000" w:themeColor="text1"/>
                <w:szCs w:val="21"/>
              </w:rPr>
              <w:t>の前に</w:t>
            </w:r>
            <w:r w:rsidR="00DC6F20" w:rsidRPr="00C1378B">
              <w:rPr>
                <w:rFonts w:ascii="ＭＳ 明朝" w:eastAsia="ＭＳ 明朝" w:hAnsi="ＭＳ 明朝" w:cs="Adobe Song Std L"/>
                <w:color w:val="000000" w:themeColor="text1"/>
                <w:szCs w:val="21"/>
              </w:rPr>
              <w:t>，集合の基本的な用語や性質を一通り扱っている資料があり，数学Ⅰの集合の履修との関連に配慮されている。(p.8～17）</w:t>
            </w:r>
          </w:p>
          <w:p w14:paraId="4E46AB1D" w14:textId="5D7B8162" w:rsidR="00665AC7" w:rsidRPr="00C1378B" w:rsidRDefault="00665AC7" w:rsidP="00665AC7">
            <w:pPr>
              <w:ind w:left="210" w:hangingChars="100" w:hanging="210"/>
              <w:rPr>
                <w:rFonts w:ascii="ＭＳ 明朝" w:eastAsia="ＭＳ 明朝" w:hAnsi="ＭＳ 明朝" w:cs="Adobe Song Std L" w:hint="eastAsia"/>
                <w:color w:val="000000" w:themeColor="text1"/>
                <w:szCs w:val="21"/>
              </w:rPr>
            </w:pPr>
            <w:r w:rsidRPr="00C1378B">
              <w:rPr>
                <w:rFonts w:ascii="ＭＳ 明朝" w:eastAsia="ＭＳ 明朝" w:hAnsi="ＭＳ 明朝" w:cs="Adobe Song Std L"/>
                <w:color w:val="000000" w:themeColor="text1"/>
                <w:szCs w:val="21"/>
              </w:rPr>
              <w:t>●「１章　場合の数と確率」</w:t>
            </w:r>
            <w:r>
              <w:rPr>
                <w:rFonts w:ascii="ＭＳ 明朝" w:eastAsia="ＭＳ 明朝" w:hAnsi="ＭＳ 明朝" w:cs="Adobe Song Std L" w:hint="eastAsia"/>
                <w:color w:val="000000" w:themeColor="text1"/>
                <w:szCs w:val="21"/>
              </w:rPr>
              <w:t>の</w:t>
            </w:r>
            <w:r w:rsidRPr="00665AC7">
              <w:rPr>
                <w:rFonts w:ascii="ＭＳ 明朝" w:eastAsia="ＭＳ 明朝" w:hAnsi="ＭＳ 明朝" w:cs="Adobe Song Std L"/>
                <w:color w:val="000000" w:themeColor="text1"/>
                <w:szCs w:val="21"/>
              </w:rPr>
              <w:t>確率の単元（</w:t>
            </w:r>
            <w:r>
              <w:rPr>
                <w:rFonts w:ascii="ＭＳ 明朝" w:eastAsia="ＭＳ 明朝" w:hAnsi="ＭＳ 明朝" w:cs="Adobe Song Std L" w:hint="eastAsia"/>
                <w:color w:val="000000" w:themeColor="text1"/>
                <w:szCs w:val="21"/>
              </w:rPr>
              <w:t>２</w:t>
            </w:r>
            <w:r w:rsidRPr="00665AC7">
              <w:rPr>
                <w:rFonts w:ascii="ＭＳ 明朝" w:eastAsia="ＭＳ 明朝" w:hAnsi="ＭＳ 明朝" w:cs="Adobe Song Std L"/>
                <w:color w:val="000000" w:themeColor="text1"/>
                <w:szCs w:val="21"/>
              </w:rPr>
              <w:t>節と</w:t>
            </w:r>
            <w:r>
              <w:rPr>
                <w:rFonts w:ascii="ＭＳ 明朝" w:eastAsia="ＭＳ 明朝" w:hAnsi="ＭＳ 明朝" w:cs="Adobe Song Std L" w:hint="eastAsia"/>
                <w:color w:val="000000" w:themeColor="text1"/>
                <w:szCs w:val="21"/>
              </w:rPr>
              <w:t>３節</w:t>
            </w:r>
            <w:r>
              <w:rPr>
                <w:rFonts w:ascii="ＭＳ 明朝" w:eastAsia="ＭＳ 明朝" w:hAnsi="ＭＳ 明朝" w:cs="Adobe Song Std L"/>
                <w:color w:val="000000" w:themeColor="text1"/>
                <w:szCs w:val="21"/>
              </w:rPr>
              <w:t>）では，例や例題と同じ試行のもとで，他の事象の確率を求める問</w:t>
            </w:r>
            <w:r>
              <w:rPr>
                <w:rFonts w:ascii="ＭＳ 明朝" w:eastAsia="ＭＳ 明朝" w:hAnsi="ＭＳ 明朝" w:cs="Adobe Song Std L" w:hint="eastAsia"/>
                <w:color w:val="000000" w:themeColor="text1"/>
                <w:szCs w:val="21"/>
              </w:rPr>
              <w:t>が</w:t>
            </w:r>
            <w:r>
              <w:rPr>
                <w:rFonts w:ascii="ＭＳ 明朝" w:eastAsia="ＭＳ 明朝" w:hAnsi="ＭＳ 明朝" w:cs="Adobe Song Std L"/>
                <w:color w:val="000000" w:themeColor="text1"/>
                <w:szCs w:val="21"/>
              </w:rPr>
              <w:t>多く扱</w:t>
            </w:r>
            <w:r>
              <w:rPr>
                <w:rFonts w:ascii="ＭＳ 明朝" w:eastAsia="ＭＳ 明朝" w:hAnsi="ＭＳ 明朝" w:cs="Adobe Song Std L" w:hint="eastAsia"/>
                <w:color w:val="000000" w:themeColor="text1"/>
                <w:szCs w:val="21"/>
              </w:rPr>
              <w:t>われている</w:t>
            </w:r>
            <w:r w:rsidRPr="00665AC7">
              <w:rPr>
                <w:rFonts w:ascii="ＭＳ 明朝" w:eastAsia="ＭＳ 明朝" w:hAnsi="ＭＳ 明朝" w:cs="Adobe Song Std L"/>
                <w:color w:val="000000" w:themeColor="text1"/>
                <w:szCs w:val="21"/>
              </w:rPr>
              <w:t>。例や例題にある記述をもとに</w:t>
            </w:r>
            <w:r>
              <w:rPr>
                <w:rFonts w:ascii="ＭＳ 明朝" w:eastAsia="ＭＳ 明朝" w:hAnsi="ＭＳ 明朝" w:cs="Adobe Song Std L"/>
                <w:color w:val="000000" w:themeColor="text1"/>
                <w:szCs w:val="21"/>
              </w:rPr>
              <w:t>して考えることができるため，スムーズに授業を進め</w:t>
            </w:r>
            <w:r>
              <w:rPr>
                <w:rFonts w:ascii="ＭＳ 明朝" w:eastAsia="ＭＳ 明朝" w:hAnsi="ＭＳ 明朝" w:cs="Adobe Song Std L" w:hint="eastAsia"/>
                <w:color w:val="000000" w:themeColor="text1"/>
                <w:szCs w:val="21"/>
              </w:rPr>
              <w:t>られるよう配慮されている</w:t>
            </w:r>
            <w:r w:rsidRPr="00665AC7">
              <w:rPr>
                <w:rFonts w:ascii="ＭＳ 明朝" w:eastAsia="ＭＳ 明朝" w:hAnsi="ＭＳ 明朝" w:cs="Adobe Song Std L"/>
                <w:color w:val="000000" w:themeColor="text1"/>
                <w:szCs w:val="21"/>
              </w:rPr>
              <w:t>。また，例や例題とは異なる考え方が必要なものなどはThink</w:t>
            </w:r>
            <w:r>
              <w:rPr>
                <w:rFonts w:ascii="ＭＳ 明朝" w:eastAsia="ＭＳ 明朝" w:hAnsi="ＭＳ 明朝" w:cs="Adobe Song Std L"/>
                <w:color w:val="000000" w:themeColor="text1"/>
                <w:szCs w:val="21"/>
              </w:rPr>
              <w:t>として問とは区別</w:t>
            </w:r>
            <w:r>
              <w:rPr>
                <w:rFonts w:ascii="ＭＳ 明朝" w:eastAsia="ＭＳ 明朝" w:hAnsi="ＭＳ 明朝" w:cs="Adobe Song Std L" w:hint="eastAsia"/>
                <w:color w:val="000000" w:themeColor="text1"/>
                <w:szCs w:val="21"/>
              </w:rPr>
              <w:t>されており，柔軟な扱いができるよう工夫されている</w:t>
            </w:r>
            <w:r w:rsidRPr="00665AC7">
              <w:rPr>
                <w:rFonts w:ascii="ＭＳ 明朝" w:eastAsia="ＭＳ 明朝" w:hAnsi="ＭＳ 明朝" w:cs="Adobe Song Std L"/>
                <w:color w:val="000000" w:themeColor="text1"/>
                <w:szCs w:val="21"/>
              </w:rPr>
              <w:t>。（p.35, 43, 48, 51, 52, 53, 54, 57, 58）</w:t>
            </w:r>
          </w:p>
          <w:p w14:paraId="16D99651" w14:textId="77777777" w:rsidR="005B3198" w:rsidRDefault="00DC6F20" w:rsidP="00665AC7">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●「２章　図形の性質」</w:t>
            </w:r>
            <w:r>
              <w:rPr>
                <w:rFonts w:ascii="ＭＳ 明朝" w:eastAsia="ＭＳ 明朝" w:hAnsi="ＭＳ 明朝" w:cs="Adobe Song Std L" w:hint="eastAsia"/>
                <w:color w:val="000000" w:themeColor="text1"/>
                <w:szCs w:val="21"/>
              </w:rPr>
              <w:t>では，</w:t>
            </w:r>
            <w:r w:rsidR="00F56FE8" w:rsidRPr="00F56FE8">
              <w:rPr>
                <w:rFonts w:ascii="ＭＳ 明朝" w:eastAsia="ＭＳ 明朝" w:hAnsi="ＭＳ 明朝" w:cs="Adobe Song Std L"/>
                <w:color w:val="000000" w:themeColor="text1"/>
                <w:szCs w:val="21"/>
              </w:rPr>
              <w:t>平面図形の性質について，本文の証明や図とは異なる場面での証明を考えるThink</w:t>
            </w:r>
            <w:r w:rsidR="003B29B4">
              <w:rPr>
                <w:rFonts w:ascii="ＭＳ 明朝" w:eastAsia="ＭＳ 明朝" w:hAnsi="ＭＳ 明朝" w:cs="Adobe Song Std L" w:hint="eastAsia"/>
                <w:color w:val="000000" w:themeColor="text1"/>
                <w:szCs w:val="21"/>
              </w:rPr>
              <w:t>が設けられ，</w:t>
            </w:r>
            <w:r w:rsidR="00F56FE8" w:rsidRPr="00F56FE8">
              <w:rPr>
                <w:rFonts w:ascii="ＭＳ 明朝" w:eastAsia="ＭＳ 明朝" w:hAnsi="ＭＳ 明朝" w:cs="Adobe Song Std L"/>
                <w:color w:val="000000" w:themeColor="text1"/>
                <w:szCs w:val="21"/>
              </w:rPr>
              <w:t>それぞれの証明で用いる定理どうしの関係や，本文の証明の一般性を理解する</w:t>
            </w:r>
            <w:r w:rsidR="003B29B4">
              <w:rPr>
                <w:rFonts w:ascii="ＭＳ 明朝" w:eastAsia="ＭＳ 明朝" w:hAnsi="ＭＳ 明朝" w:cs="Adobe Song Std L"/>
                <w:color w:val="000000" w:themeColor="text1"/>
                <w:szCs w:val="21"/>
              </w:rPr>
              <w:t>ことがで</w:t>
            </w:r>
            <w:r w:rsidR="003B29B4">
              <w:rPr>
                <w:rFonts w:ascii="ＭＳ 明朝" w:eastAsia="ＭＳ 明朝" w:hAnsi="ＭＳ 明朝" w:cs="Adobe Song Std L" w:hint="eastAsia"/>
                <w:color w:val="000000" w:themeColor="text1"/>
                <w:szCs w:val="21"/>
              </w:rPr>
              <w:t>きるよう工夫されている</w:t>
            </w:r>
            <w:r w:rsidR="00F56FE8" w:rsidRPr="00F56FE8">
              <w:rPr>
                <w:rFonts w:ascii="ＭＳ 明朝" w:eastAsia="ＭＳ 明朝" w:hAnsi="ＭＳ 明朝" w:cs="Adobe Song Std L"/>
                <w:color w:val="000000" w:themeColor="text1"/>
                <w:szCs w:val="21"/>
              </w:rPr>
              <w:t>。（</w:t>
            </w:r>
            <w:r w:rsidR="00E6460C">
              <w:rPr>
                <w:rFonts w:ascii="ＭＳ 明朝" w:eastAsia="ＭＳ 明朝" w:hAnsi="ＭＳ 明朝" w:cs="Adobe Song Std L"/>
                <w:color w:val="000000" w:themeColor="text1"/>
                <w:szCs w:val="21"/>
              </w:rPr>
              <w:t>p.88</w:t>
            </w:r>
            <w:r w:rsidR="00F56FE8" w:rsidRPr="00F56FE8">
              <w:rPr>
                <w:rFonts w:ascii="ＭＳ 明朝" w:eastAsia="ＭＳ 明朝" w:hAnsi="ＭＳ 明朝" w:cs="Adobe Song Std L"/>
                <w:color w:val="000000" w:themeColor="text1"/>
                <w:szCs w:val="21"/>
              </w:rPr>
              <w:t>, 90）</w:t>
            </w:r>
            <w:r w:rsidR="00F56FE8">
              <w:rPr>
                <w:rFonts w:ascii="ＭＳ 明朝" w:eastAsia="ＭＳ 明朝" w:hAnsi="ＭＳ 明朝" w:cs="Adobe Song Std L"/>
                <w:color w:val="000000" w:themeColor="text1"/>
                <w:szCs w:val="21"/>
              </w:rPr>
              <w:t xml:space="preserve"> </w:t>
            </w:r>
          </w:p>
          <w:p w14:paraId="25E720C2" w14:textId="2BDBED94" w:rsidR="00665AC7" w:rsidRPr="00C1378B" w:rsidRDefault="00665AC7" w:rsidP="00665AC7">
            <w:pPr>
              <w:ind w:left="210" w:hangingChars="100" w:hanging="210"/>
              <w:rPr>
                <w:rFonts w:ascii="ＭＳ 明朝" w:eastAsia="ＭＳ 明朝" w:hAnsi="ＭＳ 明朝" w:cs="Adobe Song Std L" w:hint="eastAsia"/>
                <w:color w:val="000000" w:themeColor="text1"/>
                <w:szCs w:val="21"/>
              </w:rPr>
            </w:pPr>
            <w:r w:rsidRPr="00C1378B">
              <w:rPr>
                <w:rFonts w:ascii="ＭＳ 明朝" w:eastAsia="ＭＳ 明朝" w:hAnsi="ＭＳ 明朝" w:cs="Adobe Song Std L"/>
                <w:color w:val="000000" w:themeColor="text1"/>
                <w:szCs w:val="21"/>
              </w:rPr>
              <w:t>●</w:t>
            </w:r>
            <w:r>
              <w:rPr>
                <w:rFonts w:ascii="ＭＳ 明朝" w:eastAsia="ＭＳ 明朝" w:hAnsi="ＭＳ 明朝" w:cs="Adobe Song Std L"/>
                <w:color w:val="000000" w:themeColor="text1"/>
                <w:szCs w:val="21"/>
              </w:rPr>
              <w:t>「</w:t>
            </w:r>
            <w:r>
              <w:rPr>
                <w:rFonts w:ascii="ＭＳ 明朝" w:eastAsia="ＭＳ 明朝" w:hAnsi="ＭＳ 明朝" w:cs="Adobe Song Std L" w:hint="eastAsia"/>
                <w:color w:val="000000" w:themeColor="text1"/>
                <w:szCs w:val="21"/>
              </w:rPr>
              <w:t>３</w:t>
            </w:r>
            <w:r>
              <w:rPr>
                <w:rFonts w:ascii="ＭＳ 明朝" w:eastAsia="ＭＳ 明朝" w:hAnsi="ＭＳ 明朝" w:cs="Adobe Song Std L"/>
                <w:color w:val="000000" w:themeColor="text1"/>
                <w:szCs w:val="21"/>
              </w:rPr>
              <w:t xml:space="preserve">章　</w:t>
            </w:r>
            <w:r>
              <w:rPr>
                <w:rFonts w:ascii="ＭＳ 明朝" w:eastAsia="ＭＳ 明朝" w:hAnsi="ＭＳ 明朝" w:cs="Adobe Song Std L" w:hint="eastAsia"/>
                <w:color w:val="000000" w:themeColor="text1"/>
                <w:szCs w:val="21"/>
              </w:rPr>
              <w:t>数学と人間の活動</w:t>
            </w:r>
            <w:r w:rsidRPr="00C1378B">
              <w:rPr>
                <w:rFonts w:ascii="ＭＳ 明朝" w:eastAsia="ＭＳ 明朝" w:hAnsi="ＭＳ 明朝" w:cs="Adobe Song Std L"/>
                <w:color w:val="000000" w:themeColor="text1"/>
                <w:szCs w:val="21"/>
              </w:rPr>
              <w:t>」</w:t>
            </w:r>
            <w:r>
              <w:rPr>
                <w:rFonts w:ascii="ＭＳ 明朝" w:eastAsia="ＭＳ 明朝" w:hAnsi="ＭＳ 明朝" w:cs="Adobe Song Std L" w:hint="eastAsia"/>
                <w:color w:val="000000" w:themeColor="text1"/>
                <w:szCs w:val="21"/>
              </w:rPr>
              <w:t>では，</w:t>
            </w:r>
            <w:r>
              <w:rPr>
                <w:rFonts w:ascii="ＭＳ 明朝" w:eastAsia="ＭＳ 明朝" w:hAnsi="ＭＳ 明朝" w:cs="Adobe Song Std L" w:hint="eastAsia"/>
                <w:color w:val="000000" w:themeColor="text1"/>
                <w:szCs w:val="21"/>
              </w:rPr>
              <w:t>１</w:t>
            </w:r>
            <w:r>
              <w:rPr>
                <w:rFonts w:ascii="ＭＳ 明朝" w:eastAsia="ＭＳ 明朝" w:hAnsi="ＭＳ 明朝" w:cs="Adobe Song Std L"/>
                <w:color w:val="000000" w:themeColor="text1"/>
                <w:szCs w:val="21"/>
              </w:rPr>
              <w:t>節に整数についての理論的な内容</w:t>
            </w:r>
            <w:r>
              <w:rPr>
                <w:rFonts w:ascii="ＭＳ 明朝" w:eastAsia="ＭＳ 明朝" w:hAnsi="ＭＳ 明朝" w:cs="Adobe Song Std L" w:hint="eastAsia"/>
                <w:color w:val="000000" w:themeColor="text1"/>
                <w:szCs w:val="21"/>
              </w:rPr>
              <w:t>が</w:t>
            </w:r>
            <w:r w:rsidRPr="00665AC7">
              <w:rPr>
                <w:rFonts w:ascii="ＭＳ 明朝" w:eastAsia="ＭＳ 明朝" w:hAnsi="ＭＳ 明朝" w:cs="Adobe Song Std L"/>
                <w:color w:val="000000" w:themeColor="text1"/>
                <w:szCs w:val="21"/>
              </w:rPr>
              <w:t>まとめ</w:t>
            </w:r>
            <w:r>
              <w:rPr>
                <w:rFonts w:ascii="ＭＳ 明朝" w:eastAsia="ＭＳ 明朝" w:hAnsi="ＭＳ 明朝" w:cs="Adobe Song Std L" w:hint="eastAsia"/>
                <w:color w:val="000000" w:themeColor="text1"/>
                <w:szCs w:val="21"/>
              </w:rPr>
              <w:t>られ</w:t>
            </w:r>
            <w:r w:rsidRPr="00665AC7">
              <w:rPr>
                <w:rFonts w:ascii="ＭＳ 明朝" w:eastAsia="ＭＳ 明朝" w:hAnsi="ＭＳ 明朝" w:cs="Adobe Song Std L"/>
                <w:color w:val="000000" w:themeColor="text1"/>
                <w:szCs w:val="21"/>
              </w:rPr>
              <w:t>，</w:t>
            </w:r>
            <w:r>
              <w:rPr>
                <w:rFonts w:ascii="ＭＳ 明朝" w:eastAsia="ＭＳ 明朝" w:hAnsi="ＭＳ 明朝" w:cs="Adobe Song Std L" w:hint="eastAsia"/>
                <w:color w:val="000000" w:themeColor="text1"/>
                <w:szCs w:val="21"/>
              </w:rPr>
              <w:t>２</w:t>
            </w:r>
            <w:r>
              <w:rPr>
                <w:rFonts w:ascii="ＭＳ 明朝" w:eastAsia="ＭＳ 明朝" w:hAnsi="ＭＳ 明朝" w:cs="Adobe Song Std L"/>
                <w:color w:val="000000" w:themeColor="text1"/>
                <w:szCs w:val="21"/>
              </w:rPr>
              <w:t>節にその活用例</w:t>
            </w:r>
            <w:r>
              <w:rPr>
                <w:rFonts w:ascii="ＭＳ 明朝" w:eastAsia="ＭＳ 明朝" w:hAnsi="ＭＳ 明朝" w:cs="Adobe Song Std L" w:hint="eastAsia"/>
                <w:color w:val="000000" w:themeColor="text1"/>
                <w:szCs w:val="21"/>
              </w:rPr>
              <w:t>が</w:t>
            </w:r>
            <w:r w:rsidRPr="00665AC7">
              <w:rPr>
                <w:rFonts w:ascii="ＭＳ 明朝" w:eastAsia="ＭＳ 明朝" w:hAnsi="ＭＳ 明朝" w:cs="Adobe Song Std L"/>
                <w:color w:val="000000" w:themeColor="text1"/>
                <w:szCs w:val="21"/>
              </w:rPr>
              <w:t>まとめ</w:t>
            </w:r>
            <w:r>
              <w:rPr>
                <w:rFonts w:ascii="ＭＳ 明朝" w:eastAsia="ＭＳ 明朝" w:hAnsi="ＭＳ 明朝" w:cs="Adobe Song Std L" w:hint="eastAsia"/>
                <w:color w:val="000000" w:themeColor="text1"/>
                <w:szCs w:val="21"/>
              </w:rPr>
              <w:t>られている</w:t>
            </w:r>
            <w:r w:rsidRPr="00665AC7">
              <w:rPr>
                <w:rFonts w:ascii="ＭＳ 明朝" w:eastAsia="ＭＳ 明朝" w:hAnsi="ＭＳ 明朝" w:cs="Adobe Song Std L"/>
                <w:color w:val="000000" w:themeColor="text1"/>
                <w:szCs w:val="21"/>
              </w:rPr>
              <w:t>。理論とその活用を交互に学ぶ場合や，まず理論全体</w:t>
            </w:r>
            <w:r>
              <w:rPr>
                <w:rFonts w:ascii="ＭＳ 明朝" w:eastAsia="ＭＳ 明朝" w:hAnsi="ＭＳ 明朝" w:cs="Adobe Song Std L"/>
                <w:color w:val="000000" w:themeColor="text1"/>
                <w:szCs w:val="21"/>
              </w:rPr>
              <w:t>を押さえてから活用例を学ぶ場合など，さまざまな学習が可能なよう配慮</w:t>
            </w:r>
            <w:r>
              <w:rPr>
                <w:rFonts w:ascii="ＭＳ 明朝" w:eastAsia="ＭＳ 明朝" w:hAnsi="ＭＳ 明朝" w:cs="Adobe Song Std L" w:hint="eastAsia"/>
                <w:color w:val="000000" w:themeColor="text1"/>
                <w:szCs w:val="21"/>
              </w:rPr>
              <w:t>されている</w:t>
            </w:r>
            <w:bookmarkStart w:id="0" w:name="_GoBack"/>
            <w:bookmarkEnd w:id="0"/>
            <w:r w:rsidRPr="00665AC7">
              <w:rPr>
                <w:rFonts w:ascii="ＭＳ 明朝" w:eastAsia="ＭＳ 明朝" w:hAnsi="ＭＳ 明朝" w:cs="Adobe Song Std L"/>
                <w:color w:val="000000" w:themeColor="text1"/>
                <w:szCs w:val="21"/>
              </w:rPr>
              <w:t>。（p.110-135）</w:t>
            </w:r>
          </w:p>
        </w:tc>
      </w:tr>
      <w:tr w:rsidR="005B3198" w:rsidRPr="003A0BDA" w14:paraId="02D08B93" w14:textId="72477F84" w:rsidTr="004238D5">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667564E8"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組織・配列・分量</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0ACF378" w14:textId="43C2315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＊内容の組織・配列は，学習指導を有効に進められるように考慮されているか。</w:t>
            </w:r>
          </w:p>
          <w:p w14:paraId="46051E9B" w14:textId="0BEB8B49"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＊分量は学習指導を有効に進められるように考慮され，精選されているか。</w:t>
            </w:r>
          </w:p>
          <w:p w14:paraId="4D73FC3F" w14:textId="664B173B"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＊中高の接続に対する配慮がなされているか。</w:t>
            </w:r>
          </w:p>
          <w:p w14:paraId="75A0D1DA" w14:textId="69C7169C"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＊弾力的な取り扱いに対する配慮がなされているか。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14300FDD" w14:textId="75700C18"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●学習指導要領に示された「内容」と「内容の取扱い」に準拠していて，生徒の実態に即した必要かつ十分な内容が適切に組織・配列されている。</w:t>
            </w:r>
          </w:p>
          <w:p w14:paraId="12DD54F3" w14:textId="1FC2BF80"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●例・例題→問→節末問題→章末問題の順に，段階を追って一定レベルの問題が過不足なく取り上げられており，その分量も適切である。</w:t>
            </w:r>
          </w:p>
          <w:p w14:paraId="5010A294" w14:textId="7E4605E4"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●章のはじめに既習事項を</w:t>
            </w:r>
            <w:r w:rsidR="003B29B4">
              <w:rPr>
                <w:rFonts w:ascii="ＭＳ 明朝" w:eastAsia="ＭＳ 明朝" w:hAnsi="ＭＳ 明朝" w:cs="Adobe Song Std L" w:hint="eastAsia"/>
                <w:color w:val="000000" w:themeColor="text1"/>
                <w:szCs w:val="21"/>
              </w:rPr>
              <w:t>復習する</w:t>
            </w:r>
            <w:r w:rsidRPr="00C1378B">
              <w:rPr>
                <w:rFonts w:ascii="ＭＳ 明朝" w:eastAsia="ＭＳ 明朝" w:hAnsi="ＭＳ 明朝" w:cs="Adobe Song Std L"/>
                <w:color w:val="000000" w:themeColor="text1"/>
                <w:szCs w:val="21"/>
              </w:rPr>
              <w:t>コーナ</w:t>
            </w:r>
            <w:r w:rsidR="003B29B4">
              <w:rPr>
                <w:rFonts w:ascii="ＭＳ 明朝" w:eastAsia="ＭＳ 明朝" w:hAnsi="ＭＳ 明朝" w:cs="Adobe Song Std L"/>
                <w:color w:val="000000" w:themeColor="text1"/>
                <w:szCs w:val="21"/>
              </w:rPr>
              <w:t>ーがあり，関連した中学校の内容を振り返</w:t>
            </w:r>
            <w:r w:rsidR="003B29B4">
              <w:rPr>
                <w:rFonts w:ascii="ＭＳ 明朝" w:eastAsia="ＭＳ 明朝" w:hAnsi="ＭＳ 明朝" w:cs="Adobe Song Std L" w:hint="eastAsia"/>
                <w:color w:val="000000" w:themeColor="text1"/>
                <w:szCs w:val="21"/>
              </w:rPr>
              <w:t>ることができるよう，</w:t>
            </w:r>
            <w:r w:rsidR="003B29B4">
              <w:rPr>
                <w:rFonts w:ascii="ＭＳ 明朝" w:eastAsia="ＭＳ 明朝" w:hAnsi="ＭＳ 明朝" w:cs="Adobe Song Std L"/>
                <w:color w:val="000000" w:themeColor="text1"/>
                <w:szCs w:val="21"/>
              </w:rPr>
              <w:t>工夫</w:t>
            </w:r>
            <w:r w:rsidRPr="00C1378B">
              <w:rPr>
                <w:rFonts w:ascii="ＭＳ 明朝" w:eastAsia="ＭＳ 明朝" w:hAnsi="ＭＳ 明朝" w:cs="Adobe Song Std L"/>
                <w:color w:val="000000" w:themeColor="text1"/>
                <w:szCs w:val="21"/>
              </w:rPr>
              <w:t>されている。</w:t>
            </w:r>
          </w:p>
          <w:p w14:paraId="2939D95D" w14:textId="5FB4F09E" w:rsidR="005B3198" w:rsidRPr="00C1378B" w:rsidRDefault="005B3198" w:rsidP="003A0BDA">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●巻末には，「中学校で学んだ基本事項」として，数学</w:t>
            </w:r>
            <w:r w:rsidR="00B657E2">
              <w:rPr>
                <w:rFonts w:ascii="ＭＳ 明朝" w:eastAsia="ＭＳ 明朝" w:hAnsi="ＭＳ 明朝" w:cs="Adobe Song Std L" w:hint="eastAsia"/>
                <w:color w:val="000000" w:themeColor="text1"/>
                <w:szCs w:val="21"/>
              </w:rPr>
              <w:t>Ⅰ</w:t>
            </w:r>
            <w:r w:rsidR="003A0BDA">
              <w:rPr>
                <w:rFonts w:ascii="ＭＳ 明朝" w:eastAsia="ＭＳ 明朝" w:hAnsi="ＭＳ 明朝" w:cs="Adobe Song Std L" w:hint="eastAsia"/>
                <w:color w:val="000000" w:themeColor="text1"/>
                <w:szCs w:val="21"/>
              </w:rPr>
              <w:t>・数学Ａ</w:t>
            </w:r>
            <w:r w:rsidRPr="00C1378B">
              <w:rPr>
                <w:rFonts w:ascii="ＭＳ 明朝" w:eastAsia="ＭＳ 明朝" w:hAnsi="ＭＳ 明朝" w:cs="Adobe Song Std L"/>
                <w:color w:val="000000" w:themeColor="text1"/>
                <w:szCs w:val="21"/>
              </w:rPr>
              <w:t>に関連する中学校の学習内容がコンパクトにまとめられている。</w:t>
            </w:r>
          </w:p>
          <w:p w14:paraId="63FD2DBD" w14:textId="1CE31669"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w:t>
            </w:r>
            <w:r w:rsidR="003A0BDA">
              <w:rPr>
                <w:rFonts w:ascii="ＭＳ 明朝" w:eastAsia="ＭＳ 明朝" w:hAnsi="ＭＳ 明朝" w:cs="Adobe Song Std L"/>
                <w:color w:val="000000" w:themeColor="text1"/>
                <w:szCs w:val="21"/>
              </w:rPr>
              <w:t>難易度の高い例題は，「</w:t>
            </w:r>
            <w:r w:rsidR="003A0BDA">
              <w:rPr>
                <w:rFonts w:ascii="ＭＳ 明朝" w:eastAsia="ＭＳ 明朝" w:hAnsi="ＭＳ 明朝" w:cs="Adobe Song Std L" w:hint="eastAsia"/>
                <w:color w:val="000000" w:themeColor="text1"/>
                <w:szCs w:val="21"/>
              </w:rPr>
              <w:t>C</w:t>
            </w:r>
            <w:r w:rsidR="003A0BDA">
              <w:rPr>
                <w:rFonts w:ascii="ＭＳ 明朝" w:eastAsia="ＭＳ 明朝" w:hAnsi="ＭＳ 明朝" w:cs="Adobe Song Std L"/>
                <w:color w:val="000000" w:themeColor="text1"/>
                <w:szCs w:val="21"/>
              </w:rPr>
              <w:t>hallenge</w:t>
            </w:r>
            <w:r w:rsidR="003A0BDA">
              <w:rPr>
                <w:rFonts w:ascii="ＭＳ 明朝" w:eastAsia="ＭＳ 明朝" w:hAnsi="ＭＳ 明朝" w:cs="Adobe Song Std L" w:hint="eastAsia"/>
                <w:color w:val="000000" w:themeColor="text1"/>
                <w:szCs w:val="21"/>
              </w:rPr>
              <w:t>例題</w:t>
            </w:r>
            <w:r w:rsidRPr="00C1378B">
              <w:rPr>
                <w:rFonts w:ascii="ＭＳ 明朝" w:eastAsia="ＭＳ 明朝" w:hAnsi="ＭＳ 明朝" w:cs="Adobe Song Std L"/>
                <w:color w:val="000000" w:themeColor="text1"/>
                <w:szCs w:val="21"/>
              </w:rPr>
              <w:t>」として掲載され，学習進度に合わせて扱えるように配慮されている。</w:t>
            </w:r>
          </w:p>
        </w:tc>
      </w:tr>
      <w:tr w:rsidR="005B3198" w:rsidRPr="002C0F0A" w14:paraId="0190FB83" w14:textId="134720AF" w:rsidTr="004238D5">
        <w:trPr>
          <w:cantSplit/>
        </w:trPr>
        <w:tc>
          <w:tcPr>
            <w:tcW w:w="567" w:type="dxa"/>
            <w:tcBorders>
              <w:top w:val="single" w:sz="2" w:space="0" w:color="6D6E71"/>
              <w:left w:val="single" w:sz="2" w:space="0" w:color="6D6E71"/>
              <w:bottom w:val="single" w:sz="2" w:space="0" w:color="6D6E71"/>
              <w:right w:val="single" w:sz="2" w:space="0" w:color="6D6E71"/>
            </w:tcBorders>
            <w:tcMar>
              <w:left w:w="0" w:type="dxa"/>
              <w:right w:w="0" w:type="dxa"/>
            </w:tcMar>
            <w:textDirection w:val="tbRlV"/>
            <w:vAlign w:val="center"/>
          </w:tcPr>
          <w:p w14:paraId="251F7E8E" w14:textId="77777777" w:rsidR="005B3198" w:rsidRDefault="005B3198" w:rsidP="00110BE9">
            <w:pPr>
              <w:adjustRightInd w:val="0"/>
              <w:snapToGrid w:val="0"/>
              <w:ind w:leftChars="300" w:left="630"/>
              <w:rPr>
                <w:rFonts w:ascii="ＭＳ Ｐゴシック" w:eastAsia="ＭＳ Ｐゴシック" w:hAnsi="ＭＳ Ｐゴシック" w:cs="Adobe Song Std L"/>
                <w:color w:val="231F20"/>
                <w:w w:val="101"/>
                <w:szCs w:val="21"/>
              </w:rPr>
            </w:pPr>
            <w:r w:rsidRPr="002C0F0A">
              <w:rPr>
                <w:rFonts w:ascii="ＭＳ Ｐゴシック" w:eastAsia="ＭＳ Ｐゴシック" w:hAnsi="ＭＳ Ｐゴシック" w:cs="Adobe Song Std L"/>
                <w:color w:val="231F20"/>
                <w:w w:val="101"/>
                <w:szCs w:val="21"/>
              </w:rPr>
              <w:lastRenderedPageBreak/>
              <w:t>表記・表現及び指導に対する</w:t>
            </w:r>
          </w:p>
          <w:p w14:paraId="158726B3" w14:textId="156D81F6" w:rsidR="005B3198" w:rsidRPr="002C0F0A" w:rsidRDefault="005B3198" w:rsidP="005B3198">
            <w:pPr>
              <w:adjustRightInd w:val="0"/>
              <w:snapToGrid w:val="0"/>
              <w:ind w:leftChars="300" w:left="630"/>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工夫や配慮</w:t>
            </w:r>
          </w:p>
        </w:tc>
        <w:tc>
          <w:tcPr>
            <w:tcW w:w="3116" w:type="dxa"/>
            <w:tcBorders>
              <w:top w:val="single" w:sz="2" w:space="0" w:color="6D6E71"/>
              <w:left w:val="single" w:sz="2" w:space="0" w:color="6D6E71"/>
              <w:bottom w:val="single" w:sz="2" w:space="0" w:color="6D6E71"/>
              <w:right w:val="single" w:sz="2" w:space="0" w:color="6D6E71"/>
            </w:tcBorders>
          </w:tcPr>
          <w:p w14:paraId="7CE45F84" w14:textId="46FE6C8C"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＊学習意欲を高めるための配慮がなされているか。</w:t>
            </w:r>
          </w:p>
          <w:p w14:paraId="60314E87" w14:textId="29971C77"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＊用語・記号の取り上げ方や記述のしかたは適切か。</w:t>
            </w:r>
          </w:p>
          <w:p w14:paraId="5E9E6962" w14:textId="252BC06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＊生徒の自学自習への配慮や工夫がなされているか。</w:t>
            </w:r>
          </w:p>
          <w:p w14:paraId="7E3DB45B" w14:textId="1A80C141"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＊指導書や周辺教材での工夫や配慮がなされているか。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28864553" w14:textId="79104CEC"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●全編を通して本文の理解を助けるように，イラスト，写真，図が適切に用いられている。</w:t>
            </w:r>
          </w:p>
          <w:p w14:paraId="421E50A7"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●必要に応じて色を使い，視覚的な内容理解ができるよう配慮されている。</w:t>
            </w:r>
          </w:p>
          <w:p w14:paraId="2008E5CB"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●用語・記号は統一されており，記述の仕方も適切である。</w:t>
            </w:r>
          </w:p>
          <w:p w14:paraId="10646F65" w14:textId="62C8B418"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●節末問題に</w:t>
            </w:r>
            <w:r w:rsidR="003B29B4">
              <w:rPr>
                <w:rFonts w:ascii="ＭＳ 明朝" w:eastAsia="ＭＳ 明朝" w:hAnsi="ＭＳ 明朝" w:cs="Adobe Song Std L"/>
                <w:color w:val="000000" w:themeColor="text1"/>
                <w:szCs w:val="21"/>
              </w:rPr>
              <w:t>教科書本文の対応ページが付されており，振り返り学習ができるよう</w:t>
            </w:r>
            <w:r w:rsidRPr="00C1378B">
              <w:rPr>
                <w:rFonts w:ascii="ＭＳ 明朝" w:eastAsia="ＭＳ 明朝" w:hAnsi="ＭＳ 明朝" w:cs="Adobe Song Std L"/>
                <w:color w:val="000000" w:themeColor="text1"/>
                <w:szCs w:val="21"/>
              </w:rPr>
              <w:t>工夫されている。</w:t>
            </w:r>
          </w:p>
          <w:p w14:paraId="78123694" w14:textId="7435F565"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●教科書を支援する指導書や周辺教材などが充実しており，指導しやすい教科書である。</w:t>
            </w:r>
          </w:p>
          <w:p w14:paraId="4C5204DA" w14:textId="31E1FFC0"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●ICT機器を利用すると効果的な箇所に</w:t>
            </w:r>
            <w:r w:rsidR="003B29B4">
              <w:rPr>
                <w:rFonts w:ascii="ＭＳ 明朝" w:eastAsia="ＭＳ 明朝" w:hAnsi="ＭＳ 明朝" w:cs="Adobe Song Std L"/>
                <w:color w:val="000000" w:themeColor="text1"/>
                <w:szCs w:val="21"/>
              </w:rPr>
              <w:t>QR</w:t>
            </w:r>
            <w:r w:rsidRPr="00C1378B">
              <w:rPr>
                <w:rFonts w:ascii="ＭＳ 明朝" w:eastAsia="ＭＳ 明朝" w:hAnsi="ＭＳ 明朝" w:cs="Adobe Song Std L"/>
                <w:color w:val="000000" w:themeColor="text1"/>
                <w:szCs w:val="21"/>
              </w:rPr>
              <w:t>コンテンツが用意されており，生徒が柔軟に学習を進めることができるように配慮されている。</w:t>
            </w:r>
          </w:p>
        </w:tc>
      </w:tr>
      <w:tr w:rsidR="005B3198" w:rsidRPr="002C0F0A" w14:paraId="7813244F" w14:textId="4606CFD1" w:rsidTr="004238D5">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320D7BAD" w14:textId="775F5E0C"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印刷・造本上の</w:t>
            </w:r>
            <w:r>
              <w:rPr>
                <w:rFonts w:ascii="ＭＳ Ｐゴシック" w:eastAsia="ＭＳ Ｐゴシック" w:hAnsi="ＭＳ Ｐゴシック" w:cs="Adobe Song Std L" w:hint="eastAsia"/>
                <w:color w:val="231F20"/>
                <w:w w:val="101"/>
                <w:szCs w:val="21"/>
              </w:rPr>
              <w:t>配慮</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A4E6055" w14:textId="6E98D604"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＊印刷の鮮明さ，活字の大きさ，行間，製本などは適切か。</w:t>
            </w:r>
          </w:p>
          <w:p w14:paraId="3BD282F8" w14:textId="78575242"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＊環境保全や生徒の多様な特性に配慮がなされているか。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1F8195AF"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●活字はユニバーサルデザインで美しく，写真，挿し絵も鮮明で効果的である。</w:t>
            </w:r>
          </w:p>
          <w:p w14:paraId="4958189D"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●製本は堅牢で，開きやすい様式である。</w:t>
            </w:r>
          </w:p>
          <w:p w14:paraId="53B52829" w14:textId="6D016E4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●図やグラフの色使いなど，色覚特性への配慮を含むユニバーサルデザインとなっており，全ページにわたって配色を工夫するなど，だれもが見やすい紙面になっている。</w:t>
            </w:r>
          </w:p>
          <w:p w14:paraId="154AF7DA" w14:textId="230188A0"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●本文の用紙には再生紙と植物油インキを使用し，印刷業界団体が定めた環境配慮基準を満たす「グリーンプリンティング設定工場」で印刷するなど，地球環境や資源に及ぼす影響も考慮されている。</w:t>
            </w:r>
          </w:p>
        </w:tc>
      </w:tr>
      <w:tr w:rsidR="005B3198" w:rsidRPr="002C0F0A" w14:paraId="558625F4" w14:textId="7A170A24"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652A6D65"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総合所見</w:t>
            </w:r>
          </w:p>
        </w:tc>
        <w:tc>
          <w:tcPr>
            <w:tcW w:w="3116" w:type="dxa"/>
            <w:tcBorders>
              <w:top w:val="single" w:sz="2" w:space="0" w:color="6D6E71"/>
              <w:left w:val="single" w:sz="2" w:space="0" w:color="6D6E71"/>
              <w:bottom w:val="single" w:sz="2" w:space="0" w:color="6D6E71"/>
              <w:right w:val="single" w:sz="2" w:space="0" w:color="6D6E71"/>
            </w:tcBorders>
          </w:tcPr>
          <w:p w14:paraId="27B398C1" w14:textId="53F7919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＊上記観点から見た，全体的・総合的な当教科書の特徴</w:t>
            </w:r>
          </w:p>
        </w:tc>
        <w:tc>
          <w:tcPr>
            <w:tcW w:w="7087" w:type="dxa"/>
            <w:tcBorders>
              <w:top w:val="single" w:sz="2" w:space="0" w:color="6D6E71"/>
              <w:left w:val="single" w:sz="2" w:space="0" w:color="6D6E71"/>
              <w:bottom w:val="single" w:sz="2" w:space="0" w:color="6D6E71"/>
              <w:right w:val="single" w:sz="2" w:space="0" w:color="6D6E71"/>
            </w:tcBorders>
          </w:tcPr>
          <w:p w14:paraId="2FF7EE85" w14:textId="389919B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教科目標達成に必要な学習事項・定番問題がコンパクトに網羅されていること，学習内容を表す小見出しを多用した内容のまとまりのよさ，具体例からの導入，内容理解を高めるための図解・色を使った説明など，生徒および指導者にとって効率的に学習効果があげられるように編集された教科書である。また，数学の楽しさが体感できるようにも工夫されている。</w:t>
            </w:r>
          </w:p>
        </w:tc>
      </w:tr>
    </w:tbl>
    <w:p w14:paraId="04BFC992" w14:textId="22607B29" w:rsidR="00D0453D" w:rsidRPr="003D33EB" w:rsidRDefault="003D33EB" w:rsidP="003D33EB">
      <w:pPr>
        <w:jc w:val="right"/>
        <w:rPr>
          <w:rFonts w:ascii="ＭＳ 明朝" w:eastAsia="ＭＳ 明朝" w:hAnsi="ＭＳ 明朝"/>
          <w:sz w:val="18"/>
          <w:szCs w:val="18"/>
        </w:rPr>
      </w:pPr>
      <w:r w:rsidRPr="003D33EB">
        <w:rPr>
          <w:rFonts w:ascii="ＭＳ 明朝" w:eastAsia="ＭＳ 明朝" w:hAnsi="ＭＳ 明朝" w:hint="eastAsia"/>
          <w:sz w:val="18"/>
          <w:szCs w:val="18"/>
        </w:rPr>
        <w:t>この資料は，一般社団法人教科書協会「教科書発行者行動規範」に</w:t>
      </w:r>
      <w:r w:rsidRPr="003D33EB">
        <w:rPr>
          <w:rFonts w:ascii="ＭＳ 明朝" w:eastAsia="ＭＳ 明朝" w:hAnsi="ＭＳ 明朝"/>
          <w:sz w:val="18"/>
          <w:szCs w:val="18"/>
        </w:rPr>
        <w:t>則っております。</w:t>
      </w:r>
    </w:p>
    <w:sectPr w:rsidR="00D0453D" w:rsidRPr="003D33EB" w:rsidSect="009240D7">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535A6" w14:textId="77777777" w:rsidR="00525F4F" w:rsidRDefault="00525F4F" w:rsidP="00E91010">
      <w:r>
        <w:separator/>
      </w:r>
    </w:p>
  </w:endnote>
  <w:endnote w:type="continuationSeparator" w:id="0">
    <w:p w14:paraId="5D143B30" w14:textId="77777777" w:rsidR="00525F4F" w:rsidRDefault="00525F4F" w:rsidP="00E9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ゴシックMB101 Pro L">
    <w:altName w:val="A-OTF ゴシックMB101 Pro L"/>
    <w:panose1 w:val="00000000000000000000"/>
    <w:charset w:val="80"/>
    <w:family w:val="swiss"/>
    <w:notTrueType/>
    <w:pitch w:val="variable"/>
    <w:sig w:usb0="A00002FF" w:usb1="68C7FEFF" w:usb2="00000012" w:usb3="00000000" w:csb0="00020005" w:csb1="00000000"/>
  </w:font>
  <w:font w:name="Adobe Song Std L">
    <w:altName w:val="Adobe Song Std L"/>
    <w:panose1 w:val="00000000000000000000"/>
    <w:charset w:val="80"/>
    <w:family w:val="roman"/>
    <w:notTrueType/>
    <w:pitch w:val="variable"/>
    <w:sig w:usb0="00000207" w:usb1="0A0F1810"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D6EA1" w14:textId="77777777" w:rsidR="00525F4F" w:rsidRDefault="00525F4F" w:rsidP="00E91010">
      <w:r>
        <w:separator/>
      </w:r>
    </w:p>
  </w:footnote>
  <w:footnote w:type="continuationSeparator" w:id="0">
    <w:p w14:paraId="04FBD00F" w14:textId="77777777" w:rsidR="00525F4F" w:rsidRDefault="00525F4F" w:rsidP="00E91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0A"/>
    <w:rsid w:val="00106A58"/>
    <w:rsid w:val="00110BE9"/>
    <w:rsid w:val="0015345B"/>
    <w:rsid w:val="001873DC"/>
    <w:rsid w:val="001B298E"/>
    <w:rsid w:val="002011D5"/>
    <w:rsid w:val="0029523B"/>
    <w:rsid w:val="002C0F0A"/>
    <w:rsid w:val="00382D2E"/>
    <w:rsid w:val="00387452"/>
    <w:rsid w:val="003A0BDA"/>
    <w:rsid w:val="003B29B4"/>
    <w:rsid w:val="003B6DE9"/>
    <w:rsid w:val="003D33EB"/>
    <w:rsid w:val="004238D5"/>
    <w:rsid w:val="00425FE2"/>
    <w:rsid w:val="00436C24"/>
    <w:rsid w:val="004A259C"/>
    <w:rsid w:val="00525F4F"/>
    <w:rsid w:val="00565DC9"/>
    <w:rsid w:val="005B3198"/>
    <w:rsid w:val="0061539E"/>
    <w:rsid w:val="006275DE"/>
    <w:rsid w:val="00665AC7"/>
    <w:rsid w:val="00666163"/>
    <w:rsid w:val="00684BCD"/>
    <w:rsid w:val="0071529B"/>
    <w:rsid w:val="00733A22"/>
    <w:rsid w:val="00755B10"/>
    <w:rsid w:val="0078029B"/>
    <w:rsid w:val="007B2E68"/>
    <w:rsid w:val="007F5B74"/>
    <w:rsid w:val="00893FFA"/>
    <w:rsid w:val="009240D7"/>
    <w:rsid w:val="009817CE"/>
    <w:rsid w:val="00A5537A"/>
    <w:rsid w:val="00A62EC4"/>
    <w:rsid w:val="00B64EC5"/>
    <w:rsid w:val="00B657E2"/>
    <w:rsid w:val="00C1378B"/>
    <w:rsid w:val="00D0453D"/>
    <w:rsid w:val="00D31F03"/>
    <w:rsid w:val="00DA0F64"/>
    <w:rsid w:val="00DC6F20"/>
    <w:rsid w:val="00E16DF7"/>
    <w:rsid w:val="00E6460C"/>
    <w:rsid w:val="00E859F1"/>
    <w:rsid w:val="00E91010"/>
    <w:rsid w:val="00E91FA1"/>
    <w:rsid w:val="00F07501"/>
    <w:rsid w:val="00F56FE8"/>
    <w:rsid w:val="00FB106A"/>
    <w:rsid w:val="00FC0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ED260"/>
  <w15:chartTrackingRefBased/>
  <w15:docId w15:val="{57BAE198-2C58-49CD-B866-2EF0ADA2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010"/>
    <w:pPr>
      <w:tabs>
        <w:tab w:val="center" w:pos="4252"/>
        <w:tab w:val="right" w:pos="8504"/>
      </w:tabs>
      <w:snapToGrid w:val="0"/>
    </w:pPr>
  </w:style>
  <w:style w:type="character" w:customStyle="1" w:styleId="a4">
    <w:name w:val="ヘッダー (文字)"/>
    <w:basedOn w:val="a0"/>
    <w:link w:val="a3"/>
    <w:uiPriority w:val="99"/>
    <w:rsid w:val="00E91010"/>
  </w:style>
  <w:style w:type="paragraph" w:styleId="a5">
    <w:name w:val="footer"/>
    <w:basedOn w:val="a"/>
    <w:link w:val="a6"/>
    <w:uiPriority w:val="99"/>
    <w:unhideWhenUsed/>
    <w:rsid w:val="00E91010"/>
    <w:pPr>
      <w:tabs>
        <w:tab w:val="center" w:pos="4252"/>
        <w:tab w:val="right" w:pos="8504"/>
      </w:tabs>
      <w:snapToGrid w:val="0"/>
    </w:pPr>
  </w:style>
  <w:style w:type="character" w:customStyle="1" w:styleId="a6">
    <w:name w:val="フッター (文字)"/>
    <w:basedOn w:val="a0"/>
    <w:link w:val="a5"/>
    <w:uiPriority w:val="99"/>
    <w:rsid w:val="00E9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325</Words>
  <Characters>1857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松並 奏史</dc:creator>
  <cp:keywords/>
  <dc:description/>
  <cp:lastModifiedBy>松並 奏史</cp:lastModifiedBy>
  <cp:revision>11</cp:revision>
  <cp:lastPrinted>2025-03-10T12:20:00Z</cp:lastPrinted>
  <dcterms:created xsi:type="dcterms:W3CDTF">2022-03-22T05:42:00Z</dcterms:created>
  <dcterms:modified xsi:type="dcterms:W3CDTF">2025-03-10T12:20:00Z</dcterms:modified>
</cp:coreProperties>
</file>