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BD292" w14:textId="61A65007" w:rsidR="00FC02B1" w:rsidRPr="007B2E68" w:rsidRDefault="00FC02B1" w:rsidP="00FC02B1">
      <w:pPr>
        <w:jc w:val="right"/>
        <w:rPr>
          <w:rFonts w:ascii="ＭＳ Ｐゴシック" w:eastAsia="ＭＳ Ｐゴシック" w:hAnsi="ＭＳ Ｐゴシック"/>
          <w:sz w:val="18"/>
          <w:szCs w:val="18"/>
          <w:bdr w:val="single" w:sz="4" w:space="0" w:color="auto"/>
        </w:rPr>
      </w:pPr>
      <w:r w:rsidRPr="007B2E68">
        <w:rPr>
          <w:rFonts w:ascii="ＭＳ Ｐゴシック" w:eastAsia="ＭＳ Ｐゴシック" w:hAnsi="ＭＳ Ｐゴシック" w:hint="eastAsia"/>
          <w:sz w:val="18"/>
          <w:szCs w:val="18"/>
          <w:bdr w:val="single" w:sz="4" w:space="0" w:color="auto"/>
        </w:rPr>
        <w:t>令和</w:t>
      </w:r>
      <w:r w:rsidR="00A039AB">
        <w:rPr>
          <w:rFonts w:ascii="ＭＳ Ｐゴシック" w:eastAsia="ＭＳ Ｐゴシック" w:hAnsi="ＭＳ Ｐゴシック" w:hint="eastAsia"/>
          <w:sz w:val="18"/>
          <w:szCs w:val="18"/>
          <w:bdr w:val="single" w:sz="4" w:space="0" w:color="auto"/>
        </w:rPr>
        <w:t>８</w:t>
      </w:r>
      <w:r w:rsidRPr="007B2E68">
        <w:rPr>
          <w:rFonts w:ascii="ＭＳ Ｐゴシック" w:eastAsia="ＭＳ Ｐゴシック" w:hAnsi="ＭＳ Ｐゴシック" w:hint="eastAsia"/>
          <w:sz w:val="18"/>
          <w:szCs w:val="18"/>
          <w:bdr w:val="single" w:sz="4" w:space="0" w:color="auto"/>
        </w:rPr>
        <w:t>年度用内容解説資料</w:t>
      </w:r>
    </w:p>
    <w:p w14:paraId="73D68E5E" w14:textId="6C672BE5" w:rsidR="002C0F0A" w:rsidRPr="003D33EB" w:rsidRDefault="00DA0F64" w:rsidP="003D33EB">
      <w:pPr>
        <w:adjustRightInd w:val="0"/>
        <w:snapToGrid w:val="0"/>
        <w:rPr>
          <w:rFonts w:ascii="ＭＳ Ｐゴシック" w:eastAsia="ＭＳ Ｐゴシック" w:hAnsi="ＭＳ Ｐゴシック"/>
          <w:sz w:val="28"/>
          <w:szCs w:val="28"/>
        </w:rPr>
      </w:pPr>
      <w:r w:rsidRPr="003D33EB">
        <w:rPr>
          <w:rFonts w:ascii="ＭＳ Ｐゴシック" w:eastAsia="ＭＳ Ｐゴシック" w:hAnsi="ＭＳ Ｐゴシック" w:hint="eastAsia"/>
          <w:sz w:val="28"/>
          <w:szCs w:val="28"/>
        </w:rPr>
        <w:t>◆</w:t>
      </w:r>
      <w:r w:rsidR="002C0F0A" w:rsidRPr="003D33EB">
        <w:rPr>
          <w:rFonts w:ascii="ＭＳ Ｐゴシック" w:eastAsia="ＭＳ Ｐゴシック" w:hAnsi="ＭＳ Ｐゴシック" w:hint="eastAsia"/>
          <w:sz w:val="28"/>
          <w:szCs w:val="28"/>
        </w:rPr>
        <w:t>ご検討の観点と内容の特色</w:t>
      </w:r>
      <w:r w:rsidRPr="003D33EB">
        <w:rPr>
          <w:rFonts w:ascii="ＭＳ Ｐゴシック" w:eastAsia="ＭＳ Ｐゴシック" w:hAnsi="ＭＳ Ｐゴシック" w:hint="eastAsia"/>
          <w:sz w:val="28"/>
          <w:szCs w:val="28"/>
        </w:rPr>
        <w:t>◆</w:t>
      </w:r>
    </w:p>
    <w:p w14:paraId="3E5F1A36" w14:textId="37BB02B1" w:rsidR="002C0F0A" w:rsidRPr="007B2E68" w:rsidRDefault="002C0F0A" w:rsidP="002C0F0A">
      <w:pPr>
        <w:jc w:val="right"/>
        <w:rPr>
          <w:rFonts w:ascii="ＭＳ Ｐゴシック" w:eastAsia="ＭＳ Ｐゴシック" w:hAnsi="ＭＳ Ｐゴシック"/>
          <w:sz w:val="20"/>
          <w:szCs w:val="20"/>
        </w:rPr>
      </w:pPr>
      <w:r w:rsidRPr="007B2E68">
        <w:rPr>
          <w:rFonts w:ascii="ＭＳ Ｐゴシック" w:eastAsia="ＭＳ Ｐゴシック" w:hAnsi="ＭＳ Ｐゴシック" w:hint="eastAsia"/>
          <w:sz w:val="20"/>
          <w:szCs w:val="20"/>
        </w:rPr>
        <w:t>数学Ⅰ</w:t>
      </w:r>
      <w:r w:rsidR="00A039AB">
        <w:rPr>
          <w:rFonts w:ascii="ＭＳ Ｐゴシック" w:eastAsia="ＭＳ Ｐゴシック" w:hAnsi="ＭＳ Ｐゴシック" w:hint="eastAsia"/>
          <w:sz w:val="20"/>
          <w:szCs w:val="20"/>
        </w:rPr>
        <w:t>The探究</w:t>
      </w:r>
      <w:r w:rsidR="00A62EC4">
        <w:rPr>
          <w:rFonts w:ascii="ＭＳ Ｐゴシック" w:eastAsia="ＭＳ Ｐゴシック" w:hAnsi="ＭＳ Ｐゴシック" w:hint="eastAsia"/>
          <w:sz w:val="20"/>
          <w:szCs w:val="20"/>
        </w:rPr>
        <w:t>/</w:t>
      </w:r>
      <w:r w:rsidRPr="007B2E68">
        <w:rPr>
          <w:rFonts w:ascii="ＭＳ Ｐゴシック" w:eastAsia="ＭＳ Ｐゴシック" w:hAnsi="ＭＳ Ｐゴシック"/>
          <w:sz w:val="20"/>
          <w:szCs w:val="20"/>
        </w:rPr>
        <w:t>2東書・数Ⅰ</w:t>
      </w:r>
      <w:r w:rsidR="00A039AB">
        <w:rPr>
          <w:rFonts w:ascii="ＭＳ Ｐゴシック" w:eastAsia="ＭＳ Ｐゴシック" w:hAnsi="ＭＳ Ｐゴシック" w:hint="eastAsia"/>
          <w:sz w:val="20"/>
          <w:szCs w:val="20"/>
        </w:rPr>
        <w:t>0</w:t>
      </w:r>
      <w:r w:rsidR="00A039AB">
        <w:rPr>
          <w:rFonts w:ascii="ＭＳ Ｐゴシック" w:eastAsia="ＭＳ Ｐゴシック" w:hAnsi="ＭＳ Ｐゴシック"/>
          <w:sz w:val="20"/>
          <w:szCs w:val="20"/>
        </w:rPr>
        <w:t>02-907</w:t>
      </w:r>
    </w:p>
    <w:p w14:paraId="7A342EBB" w14:textId="77777777" w:rsidR="003D33EB" w:rsidRPr="002C0F0A" w:rsidRDefault="003D33EB" w:rsidP="002C0F0A">
      <w:pPr>
        <w:jc w:val="right"/>
        <w:rPr>
          <w:rFonts w:ascii="ＭＳ Ｐゴシック" w:eastAsia="ＭＳ Ｐゴシック" w:hAnsi="ＭＳ Ｐゴシック"/>
          <w:szCs w:val="21"/>
        </w:rPr>
      </w:pPr>
    </w:p>
    <w:tbl>
      <w:tblPr>
        <w:tblW w:w="10770" w:type="dxa"/>
        <w:tblLayout w:type="fixed"/>
        <w:tblCellMar>
          <w:top w:w="57" w:type="dxa"/>
          <w:left w:w="57" w:type="dxa"/>
          <w:bottom w:w="57" w:type="dxa"/>
          <w:right w:w="57" w:type="dxa"/>
        </w:tblCellMar>
        <w:tblLook w:val="01E0" w:firstRow="1" w:lastRow="1" w:firstColumn="1" w:lastColumn="1" w:noHBand="0" w:noVBand="0"/>
      </w:tblPr>
      <w:tblGrid>
        <w:gridCol w:w="567"/>
        <w:gridCol w:w="3116"/>
        <w:gridCol w:w="7087"/>
      </w:tblGrid>
      <w:tr w:rsidR="003D33EB" w:rsidRPr="002C0F0A" w14:paraId="6F08A846" w14:textId="07910375" w:rsidTr="004238D5">
        <w:trPr>
          <w:cantSplit/>
          <w:tblHeader/>
        </w:trPr>
        <w:tc>
          <w:tcPr>
            <w:tcW w:w="567" w:type="dxa"/>
            <w:tcBorders>
              <w:top w:val="single" w:sz="2" w:space="0" w:color="58595B"/>
              <w:left w:val="single" w:sz="2" w:space="0" w:color="58595B"/>
              <w:bottom w:val="single" w:sz="2" w:space="0" w:color="6D6E71"/>
              <w:right w:val="single" w:sz="2" w:space="0" w:color="58595B"/>
            </w:tcBorders>
            <w:shd w:val="clear" w:color="auto" w:fill="27467D"/>
          </w:tcPr>
          <w:p w14:paraId="5B8849CD" w14:textId="1B8F2681" w:rsidR="003D33EB" w:rsidRPr="002C0F0A" w:rsidRDefault="003D33EB" w:rsidP="002C0F0A">
            <w:pPr>
              <w:adjustRightInd w:val="0"/>
              <w:ind w:leftChars="-50" w:left="-105" w:rightChars="-50" w:right="-105"/>
              <w:jc w:val="center"/>
              <w:rPr>
                <w:rFonts w:ascii="ＭＳ ゴシック" w:eastAsia="ＭＳ ゴシック" w:hAnsi="ＭＳ ゴシック" w:cs="A-OTF ゴシックMB101 Pro L"/>
                <w:szCs w:val="21"/>
              </w:rPr>
            </w:pPr>
            <w:r w:rsidRPr="002C0F0A">
              <w:rPr>
                <w:rFonts w:ascii="ＭＳ ゴシック" w:eastAsia="ＭＳ ゴシック" w:hAnsi="ＭＳ ゴシック" w:cs="A-OTF ゴシックMB101 Pro L"/>
                <w:color w:val="FFFFFF"/>
                <w:position w:val="-2"/>
                <w:szCs w:val="21"/>
              </w:rPr>
              <w:t>項</w:t>
            </w:r>
            <w:r w:rsidRPr="002C0F0A">
              <w:rPr>
                <w:rFonts w:ascii="ＭＳ ゴシック" w:eastAsia="ＭＳ ゴシック" w:hAnsi="ＭＳ ゴシック" w:cs="A-OTF ゴシックMB101 Pro L"/>
                <w:color w:val="FFFFFF"/>
                <w:w w:val="103"/>
                <w:position w:val="-2"/>
                <w:szCs w:val="21"/>
              </w:rPr>
              <w:t>目</w:t>
            </w:r>
          </w:p>
        </w:tc>
        <w:tc>
          <w:tcPr>
            <w:tcW w:w="3116" w:type="dxa"/>
            <w:tcBorders>
              <w:top w:val="single" w:sz="2" w:space="0" w:color="58595B"/>
              <w:left w:val="single" w:sz="2" w:space="0" w:color="58595B"/>
              <w:bottom w:val="single" w:sz="2" w:space="0" w:color="6D6E71"/>
              <w:right w:val="single" w:sz="2" w:space="0" w:color="58595B"/>
            </w:tcBorders>
            <w:shd w:val="clear" w:color="auto" w:fill="27467D"/>
          </w:tcPr>
          <w:p w14:paraId="16843044" w14:textId="5DC4D0B8"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w w:val="103"/>
                <w:szCs w:val="21"/>
              </w:rPr>
              <w:t>観点</w:t>
            </w:r>
          </w:p>
        </w:tc>
        <w:tc>
          <w:tcPr>
            <w:tcW w:w="7087" w:type="dxa"/>
            <w:tcBorders>
              <w:top w:val="single" w:sz="2" w:space="0" w:color="58595B"/>
              <w:left w:val="single" w:sz="2" w:space="0" w:color="58595B"/>
              <w:bottom w:val="single" w:sz="2" w:space="0" w:color="6D6E71"/>
              <w:right w:val="single" w:sz="2" w:space="0" w:color="58595B"/>
            </w:tcBorders>
            <w:shd w:val="clear" w:color="auto" w:fill="27467D"/>
          </w:tcPr>
          <w:p w14:paraId="683C5EAB" w14:textId="628802FA"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spacing w:val="16"/>
                <w:w w:val="103"/>
                <w:szCs w:val="21"/>
              </w:rPr>
              <w:t>内容の特</w:t>
            </w:r>
            <w:r w:rsidRPr="002C0F0A">
              <w:rPr>
                <w:rFonts w:ascii="ＭＳ ゴシック" w:eastAsia="ＭＳ ゴシック" w:hAnsi="ＭＳ ゴシック" w:cs="Adobe Song Std L"/>
                <w:color w:val="FFFFFF"/>
                <w:w w:val="103"/>
                <w:szCs w:val="21"/>
              </w:rPr>
              <w:t>色</w:t>
            </w:r>
          </w:p>
        </w:tc>
      </w:tr>
      <w:tr w:rsidR="005B3198" w:rsidRPr="002C0F0A" w14:paraId="2EE08739" w14:textId="31805C25" w:rsidTr="004238D5">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58C4ACF6" w14:textId="77777777"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内容の選択・程度</w:t>
            </w:r>
          </w:p>
        </w:tc>
        <w:tc>
          <w:tcPr>
            <w:tcW w:w="3116" w:type="dxa"/>
            <w:tcBorders>
              <w:top w:val="single" w:sz="2" w:space="0" w:color="6D6E71"/>
              <w:left w:val="single" w:sz="2" w:space="0" w:color="6D6E71"/>
              <w:bottom w:val="single" w:sz="2" w:space="0" w:color="6D6E71"/>
              <w:right w:val="single" w:sz="2" w:space="0" w:color="6D6E71"/>
            </w:tcBorders>
          </w:tcPr>
          <w:p w14:paraId="0C2C31C9" w14:textId="38D2E418"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＊学習指導要領の教科の目標を達成するため必要な教材が適切に用意されているか。</w:t>
            </w:r>
          </w:p>
          <w:p w14:paraId="167EAC63" w14:textId="0D85340E"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＊基礎的・基本的事項の理解や習得のため適切な配慮がなされているか。</w:t>
            </w:r>
          </w:p>
          <w:p w14:paraId="14A80691" w14:textId="4A2AAD90"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＊発展的な学習内容の取り扱いに対する適切な配慮がなされているか。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535EC927" w14:textId="01F97036"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●基礎的・基本的な事項がコンパクトに網羅されている。また，例・例題と問のギャップをなくし，スムーズに授業が展開できるように工夫して編集されている。</w:t>
            </w:r>
          </w:p>
          <w:p w14:paraId="7657BD86" w14:textId="5952896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●本文の問の末尾に節末問題と章末問題へのリンクマークが付され，追加問題が扱いやすくなるように工夫されている。</w:t>
            </w:r>
          </w:p>
          <w:p w14:paraId="1F0EAE26" w14:textId="197F691E"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●「１章　数と式」絶対値記号を含む方程式・不等式では，例1～3で場合分けをしないで解く方程式・不等式を扱った後，例4で場合分けをして解く方程式を扱うことで，段階的に学習できるように工夫されている。（p.48～49）</w:t>
            </w:r>
          </w:p>
          <w:p w14:paraId="3A758027" w14:textId="4F67D115"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 xml:space="preserve">●「３章　</w:t>
            </w:r>
            <w:r w:rsidR="00B657E2">
              <w:rPr>
                <w:rFonts w:ascii="ＭＳ 明朝" w:eastAsia="ＭＳ 明朝" w:hAnsi="ＭＳ 明朝" w:cs="Adobe Song Std L" w:hint="eastAsia"/>
                <w:color w:val="000000" w:themeColor="text1"/>
                <w:szCs w:val="21"/>
              </w:rPr>
              <w:t>２</w:t>
            </w:r>
            <w:r w:rsidRPr="00C1378B">
              <w:rPr>
                <w:rFonts w:ascii="ＭＳ 明朝" w:eastAsia="ＭＳ 明朝" w:hAnsi="ＭＳ 明朝" w:cs="Adobe Song Std L"/>
                <w:color w:val="000000" w:themeColor="text1"/>
                <w:szCs w:val="21"/>
              </w:rPr>
              <w:t>次関数」２次関数の平方完成の変形では，例2は２次の項の係数が１で１次の項が偶数と奇数の場合，例3は２次の項の係数が１でない場合に分け，それぞれ右側に式変形のポイントも示して，丁寧に扱われている。（p.86～87）</w:t>
            </w:r>
          </w:p>
          <w:p w14:paraId="05CDAC40" w14:textId="77C14C3A" w:rsidR="005B3198"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●「４章　図形と計量」余弦定理の説明では，鋭角三角形の場合を考えた後に，2通りの鈍角三角形の場合も扱い，いずれの三角形でも余弦定理が成り立つことが分かりやすく記述され，統合的に学習できるように工夫されている。（p.160～161）</w:t>
            </w:r>
          </w:p>
          <w:p w14:paraId="4D2E8A12" w14:textId="28705397" w:rsidR="00B657E2" w:rsidRDefault="00B657E2" w:rsidP="00B657E2">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w:t>
            </w:r>
            <w:r w:rsidRPr="00893FFA">
              <w:rPr>
                <w:rFonts w:ascii="ＭＳ 明朝" w:eastAsia="ＭＳ 明朝" w:hAnsi="ＭＳ 明朝" w:cs="Adobe Song Std L"/>
                <w:color w:val="000000" w:themeColor="text1"/>
                <w:szCs w:val="21"/>
              </w:rPr>
              <w:t>「</w:t>
            </w:r>
            <w:r w:rsidRPr="00893FFA">
              <w:rPr>
                <w:rFonts w:ascii="ＭＳ 明朝" w:eastAsia="ＭＳ 明朝" w:hAnsi="ＭＳ 明朝" w:cs="Adobe Song Std L" w:hint="eastAsia"/>
                <w:color w:val="000000" w:themeColor="text1"/>
                <w:szCs w:val="21"/>
              </w:rPr>
              <w:t>５</w:t>
            </w:r>
            <w:r w:rsidRPr="00893FFA">
              <w:rPr>
                <w:rFonts w:ascii="ＭＳ 明朝" w:eastAsia="ＭＳ 明朝" w:hAnsi="ＭＳ 明朝" w:cs="Adobe Song Std L"/>
                <w:color w:val="000000" w:themeColor="text1"/>
                <w:szCs w:val="21"/>
              </w:rPr>
              <w:t xml:space="preserve">章　</w:t>
            </w:r>
            <w:r w:rsidRPr="00893FFA">
              <w:rPr>
                <w:rFonts w:ascii="ＭＳ 明朝" w:eastAsia="ＭＳ 明朝" w:hAnsi="ＭＳ 明朝" w:cs="Adobe Song Std L" w:hint="eastAsia"/>
                <w:color w:val="000000" w:themeColor="text1"/>
                <w:szCs w:val="21"/>
              </w:rPr>
              <w:t>データの分析</w:t>
            </w:r>
            <w:r w:rsidRPr="00893FFA">
              <w:rPr>
                <w:rFonts w:ascii="ＭＳ 明朝" w:eastAsia="ＭＳ 明朝" w:hAnsi="ＭＳ 明朝" w:cs="Adobe Song Std L"/>
                <w:color w:val="000000" w:themeColor="text1"/>
                <w:szCs w:val="21"/>
              </w:rPr>
              <w:t>」</w:t>
            </w:r>
            <w:r w:rsidR="00893FFA" w:rsidRPr="00893FFA">
              <w:rPr>
                <w:rFonts w:ascii="ＭＳ 明朝" w:eastAsia="ＭＳ 明朝" w:hAnsi="ＭＳ 明朝" w:cs="Adobe Song Std L" w:hint="eastAsia"/>
                <w:color w:val="000000" w:themeColor="text1"/>
                <w:szCs w:val="21"/>
              </w:rPr>
              <w:t>の</w:t>
            </w:r>
            <w:r w:rsidR="00893FFA">
              <w:rPr>
                <w:rFonts w:ascii="ＭＳ 明朝" w:eastAsia="ＭＳ 明朝" w:hAnsi="ＭＳ 明朝" w:cs="Adobe Song Std L" w:hint="eastAsia"/>
                <w:color w:val="000000" w:themeColor="text1"/>
                <w:szCs w:val="21"/>
              </w:rPr>
              <w:t>「２節　データの分析の応用」では，節電対策という具体的な日常の事象を題材に統計的探究プロセスを通して，データを表やグラフに整理して分析を行</w:t>
            </w:r>
            <w:r w:rsidR="00F07501">
              <w:rPr>
                <w:rFonts w:ascii="ＭＳ 明朝" w:eastAsia="ＭＳ 明朝" w:hAnsi="ＭＳ 明朝" w:cs="Adobe Song Std L" w:hint="eastAsia"/>
                <w:color w:val="000000" w:themeColor="text1"/>
                <w:szCs w:val="21"/>
              </w:rPr>
              <w:t>い</w:t>
            </w:r>
            <w:r w:rsidR="00893FFA">
              <w:rPr>
                <w:rFonts w:ascii="ＭＳ 明朝" w:eastAsia="ＭＳ 明朝" w:hAnsi="ＭＳ 明朝" w:cs="Adobe Song Std L" w:hint="eastAsia"/>
                <w:color w:val="000000" w:themeColor="text1"/>
                <w:szCs w:val="21"/>
              </w:rPr>
              <w:t>，分析の過程を振り返り，異なる分析方法について示唆するなどして，丁寧に扱われている。</w:t>
            </w:r>
            <w:r w:rsidRPr="00C1378B">
              <w:rPr>
                <w:rFonts w:ascii="ＭＳ 明朝" w:eastAsia="ＭＳ 明朝" w:hAnsi="ＭＳ 明朝" w:cs="Adobe Song Std L"/>
                <w:color w:val="000000" w:themeColor="text1"/>
                <w:szCs w:val="21"/>
              </w:rPr>
              <w:t>（p.1</w:t>
            </w:r>
            <w:r w:rsidR="00893FFA">
              <w:rPr>
                <w:rFonts w:ascii="ＭＳ 明朝" w:eastAsia="ＭＳ 明朝" w:hAnsi="ＭＳ 明朝" w:cs="Adobe Song Std L" w:hint="eastAsia"/>
                <w:color w:val="000000" w:themeColor="text1"/>
                <w:szCs w:val="21"/>
              </w:rPr>
              <w:t>90</w:t>
            </w:r>
            <w:r w:rsidRPr="00C1378B">
              <w:rPr>
                <w:rFonts w:ascii="ＭＳ 明朝" w:eastAsia="ＭＳ 明朝" w:hAnsi="ＭＳ 明朝" w:cs="Adobe Song Std L"/>
                <w:color w:val="000000" w:themeColor="text1"/>
                <w:szCs w:val="21"/>
              </w:rPr>
              <w:t>～1</w:t>
            </w:r>
            <w:r w:rsidR="00893FFA">
              <w:rPr>
                <w:rFonts w:ascii="ＭＳ 明朝" w:eastAsia="ＭＳ 明朝" w:hAnsi="ＭＳ 明朝" w:cs="Adobe Song Std L" w:hint="eastAsia"/>
                <w:color w:val="000000" w:themeColor="text1"/>
                <w:szCs w:val="21"/>
              </w:rPr>
              <w:t>9</w:t>
            </w:r>
            <w:r w:rsidRPr="00C1378B">
              <w:rPr>
                <w:rFonts w:ascii="ＭＳ 明朝" w:eastAsia="ＭＳ 明朝" w:hAnsi="ＭＳ 明朝" w:cs="Adobe Song Std L"/>
                <w:color w:val="000000" w:themeColor="text1"/>
                <w:szCs w:val="21"/>
              </w:rPr>
              <w:t>1）</w:t>
            </w:r>
          </w:p>
          <w:p w14:paraId="2B546624" w14:textId="0E192368"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●課題学習は，学習内容と実生活との関連が十分に図られており，生徒の興味・関心を高める数学的活動を重視した課題が扱われている。</w:t>
            </w:r>
          </w:p>
          <w:p w14:paraId="25E720C2" w14:textId="5FDF3B75"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●「発展的な学習内容」には「発展」マークが付けられ，本文と明確に区別されている。</w:t>
            </w:r>
          </w:p>
        </w:tc>
      </w:tr>
      <w:tr w:rsidR="005B3198" w:rsidRPr="002C0F0A" w14:paraId="02D08B93" w14:textId="72477F84" w:rsidTr="004238D5">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BFCFEB"/>
            <w:textDirection w:val="tbRlV"/>
            <w:vAlign w:val="center"/>
          </w:tcPr>
          <w:p w14:paraId="667564E8" w14:textId="77777777"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組織・配列・分量</w:t>
            </w:r>
          </w:p>
        </w:tc>
        <w:tc>
          <w:tcPr>
            <w:tcW w:w="3116" w:type="dxa"/>
            <w:tcBorders>
              <w:top w:val="single" w:sz="2" w:space="0" w:color="6D6E71"/>
              <w:left w:val="single" w:sz="2" w:space="0" w:color="6D6E71"/>
              <w:bottom w:val="single" w:sz="2" w:space="0" w:color="6D6E71"/>
              <w:right w:val="single" w:sz="2" w:space="0" w:color="6D6E71"/>
            </w:tcBorders>
            <w:shd w:val="clear" w:color="auto" w:fill="BFCFEB"/>
          </w:tcPr>
          <w:p w14:paraId="40ACF378" w14:textId="43C23156"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＊内容の組織・配列は，学習指導を有効に進められるように考慮されているか。</w:t>
            </w:r>
          </w:p>
          <w:p w14:paraId="46051E9B" w14:textId="0BEB8B49"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＊分量は学習指導を有効に進められるように考慮され，精選されているか。</w:t>
            </w:r>
          </w:p>
          <w:p w14:paraId="4D73FC3F" w14:textId="664B173B"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＊中高の接続に対する配慮がなされているか。</w:t>
            </w:r>
          </w:p>
          <w:p w14:paraId="75A0D1DA" w14:textId="69C7169C"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＊弾力的な取り扱いに対する配慮がなされているか。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BFCFEB"/>
          </w:tcPr>
          <w:p w14:paraId="14300FDD" w14:textId="75700C18"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●学習指導要領に示された「内容」と「内容の取扱い」に準拠していて，生徒の実態に即した必要かつ十分な内容が適切に組織・配列されている。</w:t>
            </w:r>
          </w:p>
          <w:p w14:paraId="12DD54F3" w14:textId="668CE136"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●考察→例・例題→問→節末問題→章末問題の順に，段階を追って一定レベルの問題が過不足なく取り上げられており，その分量も適切である。</w:t>
            </w:r>
          </w:p>
          <w:p w14:paraId="5010A294" w14:textId="45A8D56B"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章のはじめに既習事項を活用しながら章の学習のきっかけとなる探究活動ができるコーナーがあり，関連した中学校の内容を振り返りつつ新たな課題に対して興味や関心を高めて取り組むことができように工夫がされている。</w:t>
            </w:r>
          </w:p>
          <w:p w14:paraId="2939D95D" w14:textId="55035992"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●巻末には，「中学校で学んだ基本事項」として，数学</w:t>
            </w:r>
            <w:r w:rsidR="00B657E2">
              <w:rPr>
                <w:rFonts w:ascii="ＭＳ 明朝" w:eastAsia="ＭＳ 明朝" w:hAnsi="ＭＳ 明朝" w:cs="Adobe Song Std L" w:hint="eastAsia"/>
                <w:color w:val="000000" w:themeColor="text1"/>
                <w:szCs w:val="21"/>
              </w:rPr>
              <w:t>Ⅰ</w:t>
            </w:r>
            <w:r w:rsidRPr="00C1378B">
              <w:rPr>
                <w:rFonts w:ascii="ＭＳ 明朝" w:eastAsia="ＭＳ 明朝" w:hAnsi="ＭＳ 明朝" w:cs="Adobe Song Std L"/>
                <w:color w:val="000000" w:themeColor="text1"/>
                <w:szCs w:val="21"/>
              </w:rPr>
              <w:t>に関連する中学校の学習内容がコンパクトにまとめられている。</w:t>
            </w:r>
          </w:p>
          <w:p w14:paraId="63FD2DBD" w14:textId="15FF6604"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●難易度の高い例題は，「チャレンジ」として掲載され，学習進度に合わせて扱えるように配慮されている。</w:t>
            </w:r>
          </w:p>
        </w:tc>
      </w:tr>
      <w:tr w:rsidR="005B3198" w:rsidRPr="002C0F0A" w14:paraId="0190FB83" w14:textId="134720AF" w:rsidTr="004238D5">
        <w:trPr>
          <w:cantSplit/>
        </w:trPr>
        <w:tc>
          <w:tcPr>
            <w:tcW w:w="567" w:type="dxa"/>
            <w:tcBorders>
              <w:top w:val="single" w:sz="2" w:space="0" w:color="6D6E71"/>
              <w:left w:val="single" w:sz="2" w:space="0" w:color="6D6E71"/>
              <w:bottom w:val="single" w:sz="2" w:space="0" w:color="6D6E71"/>
              <w:right w:val="single" w:sz="2" w:space="0" w:color="6D6E71"/>
            </w:tcBorders>
            <w:tcMar>
              <w:left w:w="0" w:type="dxa"/>
              <w:right w:w="0" w:type="dxa"/>
            </w:tcMar>
            <w:textDirection w:val="tbRlV"/>
            <w:vAlign w:val="center"/>
          </w:tcPr>
          <w:p w14:paraId="251F7E8E" w14:textId="77777777" w:rsidR="005B3198" w:rsidRDefault="005B3198" w:rsidP="00110BE9">
            <w:pPr>
              <w:adjustRightInd w:val="0"/>
              <w:snapToGrid w:val="0"/>
              <w:ind w:leftChars="300" w:left="630"/>
              <w:rPr>
                <w:rFonts w:ascii="ＭＳ Ｐゴシック" w:eastAsia="ＭＳ Ｐゴシック" w:hAnsi="ＭＳ Ｐゴシック" w:cs="Adobe Song Std L"/>
                <w:color w:val="231F20"/>
                <w:w w:val="101"/>
                <w:szCs w:val="21"/>
              </w:rPr>
            </w:pPr>
            <w:r w:rsidRPr="002C0F0A">
              <w:rPr>
                <w:rFonts w:ascii="ＭＳ Ｐゴシック" w:eastAsia="ＭＳ Ｐゴシック" w:hAnsi="ＭＳ Ｐゴシック" w:cs="Adobe Song Std L"/>
                <w:color w:val="231F20"/>
                <w:w w:val="101"/>
                <w:szCs w:val="21"/>
              </w:rPr>
              <w:lastRenderedPageBreak/>
              <w:t>表記・表現及び指導に対する</w:t>
            </w:r>
          </w:p>
          <w:p w14:paraId="158726B3" w14:textId="156D81F6" w:rsidR="005B3198" w:rsidRPr="002C0F0A" w:rsidRDefault="005B3198" w:rsidP="005B3198">
            <w:pPr>
              <w:adjustRightInd w:val="0"/>
              <w:snapToGrid w:val="0"/>
              <w:ind w:leftChars="300" w:left="630"/>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工夫や配慮</w:t>
            </w:r>
          </w:p>
        </w:tc>
        <w:tc>
          <w:tcPr>
            <w:tcW w:w="3116" w:type="dxa"/>
            <w:tcBorders>
              <w:top w:val="single" w:sz="2" w:space="0" w:color="6D6E71"/>
              <w:left w:val="single" w:sz="2" w:space="0" w:color="6D6E71"/>
              <w:bottom w:val="single" w:sz="2" w:space="0" w:color="6D6E71"/>
              <w:right w:val="single" w:sz="2" w:space="0" w:color="6D6E71"/>
            </w:tcBorders>
          </w:tcPr>
          <w:p w14:paraId="7CE45F84" w14:textId="46FE6C8C"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＊学習意欲を高めるための配慮がなされているか。</w:t>
            </w:r>
          </w:p>
          <w:p w14:paraId="60314E87" w14:textId="29971C77"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＊用語・記号の取り上げ方や記述のしかたは適切か。</w:t>
            </w:r>
          </w:p>
          <w:p w14:paraId="5E9E6962" w14:textId="252BC066"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＊生徒の自学自習への配慮や工夫がなされているか。</w:t>
            </w:r>
          </w:p>
          <w:p w14:paraId="7E3DB45B" w14:textId="1A80C141"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＊指導書や周辺教材での工夫や配慮がなされているか。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28864553" w14:textId="79104CEC"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●全編を通して本文の理解を助けるように，イラスト，写真，図が適切に用いられている。</w:t>
            </w:r>
          </w:p>
          <w:p w14:paraId="421E50A7"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●必要に応じて色を使い，視覚的な内容理解ができるよう配慮されている。</w:t>
            </w:r>
          </w:p>
          <w:p w14:paraId="2008E5CB"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●用語・記号は統一されており，記述の仕方も適切である。</w:t>
            </w:r>
          </w:p>
          <w:p w14:paraId="10646F65" w14:textId="0163FEE3"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●節末問題に教科書本文の対応ページが付されており，振り返り学習ができるように工夫されている。</w:t>
            </w:r>
          </w:p>
          <w:p w14:paraId="78123694" w14:textId="7435F565"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●教科書を支援する指導書や周辺教材などが充実しており，指導しやすい教科書である。</w:t>
            </w:r>
          </w:p>
          <w:p w14:paraId="4C5204DA" w14:textId="3F5A016E"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●ICT機器を利用すると効果的な箇所に</w:t>
            </w:r>
            <w:r w:rsidR="00D53034">
              <w:rPr>
                <w:rFonts w:ascii="ＭＳ 明朝" w:eastAsia="ＭＳ 明朝" w:hAnsi="ＭＳ 明朝" w:cs="Adobe Song Std L"/>
                <w:color w:val="000000" w:themeColor="text1"/>
                <w:szCs w:val="21"/>
              </w:rPr>
              <w:t>QR</w:t>
            </w:r>
            <w:r w:rsidRPr="00C1378B">
              <w:rPr>
                <w:rFonts w:ascii="ＭＳ 明朝" w:eastAsia="ＭＳ 明朝" w:hAnsi="ＭＳ 明朝" w:cs="Adobe Song Std L"/>
                <w:color w:val="000000" w:themeColor="text1"/>
                <w:szCs w:val="21"/>
              </w:rPr>
              <w:t>コンテンツが用意</w:t>
            </w:r>
            <w:bookmarkStart w:id="0" w:name="_GoBack"/>
            <w:bookmarkEnd w:id="0"/>
            <w:r w:rsidRPr="00C1378B">
              <w:rPr>
                <w:rFonts w:ascii="ＭＳ 明朝" w:eastAsia="ＭＳ 明朝" w:hAnsi="ＭＳ 明朝" w:cs="Adobe Song Std L"/>
                <w:color w:val="000000" w:themeColor="text1"/>
                <w:szCs w:val="21"/>
              </w:rPr>
              <w:t>されており，生徒が柔軟に学習を進めることができるように配慮されている。</w:t>
            </w:r>
          </w:p>
        </w:tc>
      </w:tr>
      <w:tr w:rsidR="005B3198" w:rsidRPr="002C0F0A" w14:paraId="7813244F" w14:textId="4606CFD1" w:rsidTr="004238D5">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BFCFEB"/>
            <w:textDirection w:val="tbRlV"/>
            <w:vAlign w:val="center"/>
          </w:tcPr>
          <w:p w14:paraId="320D7BAD" w14:textId="775F5E0C"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印刷・造本上の</w:t>
            </w:r>
            <w:r>
              <w:rPr>
                <w:rFonts w:ascii="ＭＳ Ｐゴシック" w:eastAsia="ＭＳ Ｐゴシック" w:hAnsi="ＭＳ Ｐゴシック" w:cs="Adobe Song Std L" w:hint="eastAsia"/>
                <w:color w:val="231F20"/>
                <w:w w:val="101"/>
                <w:szCs w:val="21"/>
              </w:rPr>
              <w:t>配慮</w:t>
            </w:r>
          </w:p>
        </w:tc>
        <w:tc>
          <w:tcPr>
            <w:tcW w:w="3116" w:type="dxa"/>
            <w:tcBorders>
              <w:top w:val="single" w:sz="2" w:space="0" w:color="6D6E71"/>
              <w:left w:val="single" w:sz="2" w:space="0" w:color="6D6E71"/>
              <w:bottom w:val="single" w:sz="2" w:space="0" w:color="6D6E71"/>
              <w:right w:val="single" w:sz="2" w:space="0" w:color="6D6E71"/>
            </w:tcBorders>
            <w:shd w:val="clear" w:color="auto" w:fill="BFCFEB"/>
          </w:tcPr>
          <w:p w14:paraId="4A4E6055" w14:textId="6E98D604"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＊印刷の鮮明さ，活字の大きさ，行間，製本などは適切か。</w:t>
            </w:r>
          </w:p>
          <w:p w14:paraId="3BD282F8" w14:textId="78575242"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＊環境保全や生徒の多様な特性に配慮がなされているか。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BFCFEB"/>
          </w:tcPr>
          <w:p w14:paraId="1F8195AF"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●活字はユニバーサルデザインで美しく，写真，挿し絵も鮮明で効果的である。</w:t>
            </w:r>
          </w:p>
          <w:p w14:paraId="4958189D"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●製本は堅牢で，開きやすい様式である。</w:t>
            </w:r>
          </w:p>
          <w:p w14:paraId="53B52829" w14:textId="6D016E46"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●図やグラフの色使いなど，色覚特性への配慮を含むユニバーサルデザインとなっており，全ページにわたって配色を工夫するなど，だれもが見やすい紙面になっている。</w:t>
            </w:r>
          </w:p>
          <w:p w14:paraId="154AF7DA" w14:textId="230188A0"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●本文の用紙には再生紙と植物油インキを使用し，印刷業界団体が定めた環境配慮基準を満たす「グリーンプリンティング設定工場」で印刷するなど，地球環境や資源に及ぼす影響も考慮されている。</w:t>
            </w:r>
          </w:p>
        </w:tc>
      </w:tr>
      <w:tr w:rsidR="005B3198" w:rsidRPr="002C0F0A" w14:paraId="558625F4" w14:textId="7A170A24" w:rsidTr="003D33EB">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652A6D65" w14:textId="77777777"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総合所見</w:t>
            </w:r>
          </w:p>
        </w:tc>
        <w:tc>
          <w:tcPr>
            <w:tcW w:w="3116" w:type="dxa"/>
            <w:tcBorders>
              <w:top w:val="single" w:sz="2" w:space="0" w:color="6D6E71"/>
              <w:left w:val="single" w:sz="2" w:space="0" w:color="6D6E71"/>
              <w:bottom w:val="single" w:sz="2" w:space="0" w:color="6D6E71"/>
              <w:right w:val="single" w:sz="2" w:space="0" w:color="6D6E71"/>
            </w:tcBorders>
          </w:tcPr>
          <w:p w14:paraId="27B398C1" w14:textId="53F79196"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＊上記観点から見た，全体的・総合的な当教科書の特徴</w:t>
            </w:r>
          </w:p>
        </w:tc>
        <w:tc>
          <w:tcPr>
            <w:tcW w:w="7087" w:type="dxa"/>
            <w:tcBorders>
              <w:top w:val="single" w:sz="2" w:space="0" w:color="6D6E71"/>
              <w:left w:val="single" w:sz="2" w:space="0" w:color="6D6E71"/>
              <w:bottom w:val="single" w:sz="2" w:space="0" w:color="6D6E71"/>
              <w:right w:val="single" w:sz="2" w:space="0" w:color="6D6E71"/>
            </w:tcBorders>
          </w:tcPr>
          <w:p w14:paraId="2FF7EE85" w14:textId="389919B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教科目標達成に必要な学習事項・定番問題がコンパクトに網羅されていること，学習内容を表す小見出しを多用した内容のまとまりのよさ，具体例からの導入，内容理解を高めるための図解・色を使った説明など，生徒および指導者にとって効率的に学習効果があげられるように編集された教科書である。また，数学の楽しさが体感できるようにも工夫されている。</w:t>
            </w:r>
          </w:p>
        </w:tc>
      </w:tr>
    </w:tbl>
    <w:p w14:paraId="04BFC992" w14:textId="22607B29" w:rsidR="00D0453D" w:rsidRPr="003D33EB" w:rsidRDefault="003D33EB" w:rsidP="003D33EB">
      <w:pPr>
        <w:jc w:val="right"/>
        <w:rPr>
          <w:rFonts w:ascii="ＭＳ 明朝" w:eastAsia="ＭＳ 明朝" w:hAnsi="ＭＳ 明朝"/>
          <w:sz w:val="18"/>
          <w:szCs w:val="18"/>
        </w:rPr>
      </w:pPr>
      <w:r w:rsidRPr="003D33EB">
        <w:rPr>
          <w:rFonts w:ascii="ＭＳ 明朝" w:eastAsia="ＭＳ 明朝" w:hAnsi="ＭＳ 明朝" w:hint="eastAsia"/>
          <w:sz w:val="18"/>
          <w:szCs w:val="18"/>
        </w:rPr>
        <w:t>この資料は，一般社団法人教科書協会「教科書発行者行動規範」に</w:t>
      </w:r>
      <w:r w:rsidRPr="003D33EB">
        <w:rPr>
          <w:rFonts w:ascii="ＭＳ 明朝" w:eastAsia="ＭＳ 明朝" w:hAnsi="ＭＳ 明朝"/>
          <w:sz w:val="18"/>
          <w:szCs w:val="18"/>
        </w:rPr>
        <w:t>則っております。</w:t>
      </w:r>
    </w:p>
    <w:sectPr w:rsidR="00D0453D" w:rsidRPr="003D33EB" w:rsidSect="002C0F0A">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76666" w14:textId="77777777" w:rsidR="003E161B" w:rsidRDefault="003E161B" w:rsidP="00E91010">
      <w:r>
        <w:separator/>
      </w:r>
    </w:p>
  </w:endnote>
  <w:endnote w:type="continuationSeparator" w:id="0">
    <w:p w14:paraId="2AA755C4" w14:textId="77777777" w:rsidR="003E161B" w:rsidRDefault="003E161B" w:rsidP="00E9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OTF ゴシックMB101 Pro L">
    <w:altName w:val="A-OTF ゴシックMB101 Pro L"/>
    <w:panose1 w:val="00000000000000000000"/>
    <w:charset w:val="80"/>
    <w:family w:val="swiss"/>
    <w:notTrueType/>
    <w:pitch w:val="variable"/>
    <w:sig w:usb0="A00002FF" w:usb1="68C7FEFF" w:usb2="00000012" w:usb3="00000000" w:csb0="00020005" w:csb1="00000000"/>
  </w:font>
  <w:font w:name="Adobe Song Std L">
    <w:altName w:val="Adobe Song Std L"/>
    <w:panose1 w:val="00000000000000000000"/>
    <w:charset w:val="80"/>
    <w:family w:val="roman"/>
    <w:notTrueType/>
    <w:pitch w:val="variable"/>
    <w:sig w:usb0="00000207" w:usb1="0A0F1810" w:usb2="00000016" w:usb3="00000000" w:csb0="00060007"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E2CF8" w14:textId="77777777" w:rsidR="003E161B" w:rsidRDefault="003E161B" w:rsidP="00E91010">
      <w:r>
        <w:separator/>
      </w:r>
    </w:p>
  </w:footnote>
  <w:footnote w:type="continuationSeparator" w:id="0">
    <w:p w14:paraId="5F715503" w14:textId="77777777" w:rsidR="003E161B" w:rsidRDefault="003E161B" w:rsidP="00E91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F0A"/>
    <w:rsid w:val="00106A58"/>
    <w:rsid w:val="00110BE9"/>
    <w:rsid w:val="001873DC"/>
    <w:rsid w:val="001B298E"/>
    <w:rsid w:val="0029523B"/>
    <w:rsid w:val="002C0F0A"/>
    <w:rsid w:val="00382D2E"/>
    <w:rsid w:val="00387452"/>
    <w:rsid w:val="003B6DE9"/>
    <w:rsid w:val="003D33EB"/>
    <w:rsid w:val="003E161B"/>
    <w:rsid w:val="004238D5"/>
    <w:rsid w:val="00425FE2"/>
    <w:rsid w:val="005B3198"/>
    <w:rsid w:val="0061539E"/>
    <w:rsid w:val="006275DE"/>
    <w:rsid w:val="00666163"/>
    <w:rsid w:val="00684BCD"/>
    <w:rsid w:val="0078029B"/>
    <w:rsid w:val="007B2E68"/>
    <w:rsid w:val="007F5B74"/>
    <w:rsid w:val="00893FFA"/>
    <w:rsid w:val="00A039AB"/>
    <w:rsid w:val="00A5537A"/>
    <w:rsid w:val="00A62EC4"/>
    <w:rsid w:val="00B64EC5"/>
    <w:rsid w:val="00B657E2"/>
    <w:rsid w:val="00C1378B"/>
    <w:rsid w:val="00D0453D"/>
    <w:rsid w:val="00D53034"/>
    <w:rsid w:val="00DA0F64"/>
    <w:rsid w:val="00E859F1"/>
    <w:rsid w:val="00E91010"/>
    <w:rsid w:val="00E91193"/>
    <w:rsid w:val="00F07501"/>
    <w:rsid w:val="00FB106A"/>
    <w:rsid w:val="00FC0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4ED260"/>
  <w15:chartTrackingRefBased/>
  <w15:docId w15:val="{57BAE198-2C58-49CD-B866-2EF0ADA2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010"/>
    <w:pPr>
      <w:tabs>
        <w:tab w:val="center" w:pos="4252"/>
        <w:tab w:val="right" w:pos="8504"/>
      </w:tabs>
      <w:snapToGrid w:val="0"/>
    </w:pPr>
  </w:style>
  <w:style w:type="character" w:customStyle="1" w:styleId="a4">
    <w:name w:val="ヘッダー (文字)"/>
    <w:basedOn w:val="a0"/>
    <w:link w:val="a3"/>
    <w:uiPriority w:val="99"/>
    <w:rsid w:val="00E91010"/>
  </w:style>
  <w:style w:type="paragraph" w:styleId="a5">
    <w:name w:val="footer"/>
    <w:basedOn w:val="a"/>
    <w:link w:val="a6"/>
    <w:uiPriority w:val="99"/>
    <w:unhideWhenUsed/>
    <w:rsid w:val="00E91010"/>
    <w:pPr>
      <w:tabs>
        <w:tab w:val="center" w:pos="4252"/>
        <w:tab w:val="right" w:pos="8504"/>
      </w:tabs>
      <w:snapToGrid w:val="0"/>
    </w:pPr>
  </w:style>
  <w:style w:type="character" w:customStyle="1" w:styleId="a6">
    <w:name w:val="フッター (文字)"/>
    <w:basedOn w:val="a0"/>
    <w:link w:val="a5"/>
    <w:uiPriority w:val="99"/>
    <w:rsid w:val="00E91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2</Pages>
  <Words>338</Words>
  <Characters>1929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雅貴</dc:creator>
  <cp:keywords/>
  <dc:description/>
  <cp:lastModifiedBy>金子 雅貴</cp:lastModifiedBy>
  <cp:revision>4</cp:revision>
  <cp:lastPrinted>2025-02-27T02:25:00Z</cp:lastPrinted>
  <dcterms:created xsi:type="dcterms:W3CDTF">2022-03-22T05:42:00Z</dcterms:created>
  <dcterms:modified xsi:type="dcterms:W3CDTF">2025-02-27T02:25:00Z</dcterms:modified>
</cp:coreProperties>
</file>