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BD292" w14:textId="6B689441" w:rsidR="00FC02B1" w:rsidRPr="007B2E68" w:rsidRDefault="00FC02B1" w:rsidP="00FC02B1">
      <w:pPr>
        <w:jc w:val="right"/>
        <w:rPr>
          <w:rFonts w:ascii="ＭＳ Ｐゴシック" w:eastAsia="ＭＳ Ｐゴシック" w:hAnsi="ＭＳ Ｐゴシック"/>
          <w:sz w:val="18"/>
          <w:szCs w:val="18"/>
          <w:bdr w:val="single" w:sz="4" w:space="0" w:color="auto"/>
        </w:rPr>
      </w:pPr>
      <w:r w:rsidRPr="007B2E68">
        <w:rPr>
          <w:rFonts w:ascii="ＭＳ Ｐゴシック" w:eastAsia="ＭＳ Ｐゴシック" w:hAnsi="ＭＳ Ｐゴシック" w:hint="eastAsia"/>
          <w:sz w:val="18"/>
          <w:szCs w:val="18"/>
          <w:bdr w:val="single" w:sz="4" w:space="0" w:color="auto"/>
        </w:rPr>
        <w:t>令和</w:t>
      </w:r>
      <w:r w:rsidR="00C9285C">
        <w:rPr>
          <w:rFonts w:ascii="ＭＳ Ｐゴシック" w:eastAsia="ＭＳ Ｐゴシック" w:hAnsi="ＭＳ Ｐゴシック" w:hint="eastAsia"/>
          <w:sz w:val="18"/>
          <w:szCs w:val="18"/>
          <w:bdr w:val="single" w:sz="4" w:space="0" w:color="auto"/>
        </w:rPr>
        <w:t>8</w:t>
      </w:r>
      <w:r w:rsidRPr="007B2E68">
        <w:rPr>
          <w:rFonts w:ascii="ＭＳ Ｐゴシック" w:eastAsia="ＭＳ Ｐゴシック" w:hAnsi="ＭＳ Ｐゴシック" w:hint="eastAsia"/>
          <w:sz w:val="18"/>
          <w:szCs w:val="18"/>
          <w:bdr w:val="single" w:sz="4" w:space="0" w:color="auto"/>
        </w:rPr>
        <w:t>年度用内容解説資料</w:t>
      </w:r>
    </w:p>
    <w:p w14:paraId="73D68E5E" w14:textId="6C672BE5" w:rsidR="002C0F0A" w:rsidRPr="003D33EB" w:rsidRDefault="00DA0F64" w:rsidP="003D33EB">
      <w:pPr>
        <w:adjustRightInd w:val="0"/>
        <w:snapToGrid w:val="0"/>
        <w:rPr>
          <w:rFonts w:ascii="ＭＳ Ｐゴシック" w:eastAsia="ＭＳ Ｐゴシック" w:hAnsi="ＭＳ Ｐゴシック"/>
          <w:sz w:val="28"/>
          <w:szCs w:val="28"/>
        </w:rPr>
      </w:pPr>
      <w:r w:rsidRPr="003D33EB">
        <w:rPr>
          <w:rFonts w:ascii="ＭＳ Ｐゴシック" w:eastAsia="ＭＳ Ｐゴシック" w:hAnsi="ＭＳ Ｐゴシック" w:hint="eastAsia"/>
          <w:sz w:val="28"/>
          <w:szCs w:val="28"/>
        </w:rPr>
        <w:t>◆</w:t>
      </w:r>
      <w:r w:rsidR="002C0F0A" w:rsidRPr="003D33EB">
        <w:rPr>
          <w:rFonts w:ascii="ＭＳ Ｐゴシック" w:eastAsia="ＭＳ Ｐゴシック" w:hAnsi="ＭＳ Ｐゴシック" w:hint="eastAsia"/>
          <w:sz w:val="28"/>
          <w:szCs w:val="28"/>
        </w:rPr>
        <w:t>ご検討の観点と内容の特色</w:t>
      </w:r>
      <w:r w:rsidRPr="003D33EB">
        <w:rPr>
          <w:rFonts w:ascii="ＭＳ Ｐゴシック" w:eastAsia="ＭＳ Ｐゴシック" w:hAnsi="ＭＳ Ｐゴシック" w:hint="eastAsia"/>
          <w:sz w:val="28"/>
          <w:szCs w:val="28"/>
        </w:rPr>
        <w:t>◆</w:t>
      </w:r>
    </w:p>
    <w:p w14:paraId="3E5F1A36" w14:textId="6C694C4F" w:rsidR="002C0F0A" w:rsidRPr="007B2E68" w:rsidRDefault="00E91010" w:rsidP="002C0F0A">
      <w:pPr>
        <w:jc w:val="right"/>
        <w:rPr>
          <w:rFonts w:ascii="ＭＳ Ｐゴシック" w:eastAsia="ＭＳ Ｐゴシック" w:hAnsi="ＭＳ Ｐゴシック"/>
          <w:sz w:val="20"/>
          <w:szCs w:val="20"/>
        </w:rPr>
      </w:pPr>
      <w:r>
        <w:rPr>
          <w:rFonts w:ascii="ＭＳ Ｐゴシック" w:eastAsia="ＭＳ Ｐゴシック" w:hAnsi="ＭＳ Ｐゴシック"/>
          <w:sz w:val="20"/>
          <w:szCs w:val="20"/>
        </w:rPr>
        <w:t>数学</w:t>
      </w:r>
      <w:r w:rsidR="00272764">
        <w:rPr>
          <w:rFonts w:ascii="ＭＳ Ｐゴシック" w:eastAsia="ＭＳ Ｐゴシック" w:hAnsi="ＭＳ Ｐゴシック" w:hint="eastAsia"/>
          <w:sz w:val="20"/>
          <w:szCs w:val="20"/>
        </w:rPr>
        <w:t>A</w:t>
      </w:r>
      <w:r w:rsidR="00272764">
        <w:rPr>
          <w:rFonts w:ascii="ＭＳ Ｐゴシック" w:eastAsia="ＭＳ Ｐゴシック" w:hAnsi="ＭＳ Ｐゴシック"/>
          <w:sz w:val="20"/>
          <w:szCs w:val="20"/>
        </w:rPr>
        <w:t xml:space="preserve"> </w:t>
      </w:r>
      <w:r w:rsidR="00C9285C">
        <w:rPr>
          <w:rFonts w:ascii="ＭＳ Ｐゴシック" w:eastAsia="ＭＳ Ｐゴシック" w:hAnsi="ＭＳ Ｐゴシック"/>
          <w:sz w:val="20"/>
          <w:szCs w:val="20"/>
        </w:rPr>
        <w:t>The</w:t>
      </w:r>
      <w:r w:rsidR="00C9285C">
        <w:rPr>
          <w:rFonts w:ascii="ＭＳ Ｐゴシック" w:eastAsia="ＭＳ Ｐゴシック" w:hAnsi="ＭＳ Ｐゴシック" w:hint="eastAsia"/>
          <w:sz w:val="20"/>
          <w:szCs w:val="20"/>
        </w:rPr>
        <w:t>探究</w:t>
      </w:r>
      <w:r w:rsidR="00676A01">
        <w:rPr>
          <w:rFonts w:ascii="ＭＳ Ｐゴシック" w:eastAsia="ＭＳ Ｐゴシック" w:hAnsi="ＭＳ Ｐゴシック" w:hint="eastAsia"/>
          <w:sz w:val="20"/>
          <w:szCs w:val="20"/>
        </w:rPr>
        <w:t>/</w:t>
      </w:r>
      <w:r w:rsidR="002C0F0A" w:rsidRPr="007B2E68">
        <w:rPr>
          <w:rFonts w:ascii="ＭＳ Ｐゴシック" w:eastAsia="ＭＳ Ｐゴシック" w:hAnsi="ＭＳ Ｐゴシック"/>
          <w:sz w:val="20"/>
          <w:szCs w:val="20"/>
        </w:rPr>
        <w:t>2東書・数A</w:t>
      </w:r>
      <w:r w:rsidR="00C9285C">
        <w:rPr>
          <w:rFonts w:ascii="ＭＳ Ｐゴシック" w:eastAsia="ＭＳ Ｐゴシック" w:hAnsi="ＭＳ Ｐゴシック"/>
          <w:sz w:val="20"/>
          <w:szCs w:val="20"/>
        </w:rPr>
        <w:t>0</w:t>
      </w:r>
      <w:r w:rsidR="00106A58">
        <w:rPr>
          <w:rFonts w:ascii="ＭＳ Ｐゴシック" w:eastAsia="ＭＳ Ｐゴシック" w:hAnsi="ＭＳ Ｐゴシック"/>
          <w:sz w:val="20"/>
          <w:szCs w:val="20"/>
        </w:rPr>
        <w:t>02</w:t>
      </w:r>
      <w:r w:rsidR="00C9285C">
        <w:rPr>
          <w:rFonts w:ascii="ＭＳ Ｐゴシック" w:eastAsia="ＭＳ Ｐゴシック" w:hAnsi="ＭＳ Ｐゴシック"/>
          <w:sz w:val="20"/>
          <w:szCs w:val="20"/>
        </w:rPr>
        <w:t>-907</w:t>
      </w:r>
    </w:p>
    <w:p w14:paraId="7A342EBB" w14:textId="77777777" w:rsidR="003D33EB" w:rsidRPr="002C0F0A" w:rsidRDefault="003D33EB" w:rsidP="002C0F0A">
      <w:pPr>
        <w:jc w:val="right"/>
        <w:rPr>
          <w:rFonts w:ascii="ＭＳ Ｐゴシック" w:eastAsia="ＭＳ Ｐゴシック" w:hAnsi="ＭＳ Ｐゴシック"/>
          <w:szCs w:val="21"/>
        </w:rPr>
      </w:pPr>
    </w:p>
    <w:tbl>
      <w:tblPr>
        <w:tblW w:w="10770" w:type="dxa"/>
        <w:tblLayout w:type="fixed"/>
        <w:tblCellMar>
          <w:top w:w="57" w:type="dxa"/>
          <w:left w:w="57" w:type="dxa"/>
          <w:bottom w:w="57" w:type="dxa"/>
          <w:right w:w="57" w:type="dxa"/>
        </w:tblCellMar>
        <w:tblLook w:val="01E0" w:firstRow="1" w:lastRow="1" w:firstColumn="1" w:lastColumn="1" w:noHBand="0" w:noVBand="0"/>
      </w:tblPr>
      <w:tblGrid>
        <w:gridCol w:w="567"/>
        <w:gridCol w:w="3116"/>
        <w:gridCol w:w="7087"/>
      </w:tblGrid>
      <w:tr w:rsidR="003D33EB" w:rsidRPr="002C0F0A" w14:paraId="6F08A846" w14:textId="07910375" w:rsidTr="00676A01">
        <w:trPr>
          <w:cantSplit/>
          <w:tblHeader/>
        </w:trPr>
        <w:tc>
          <w:tcPr>
            <w:tcW w:w="567" w:type="dxa"/>
            <w:tcBorders>
              <w:top w:val="single" w:sz="2" w:space="0" w:color="58595B"/>
              <w:left w:val="single" w:sz="2" w:space="0" w:color="58595B"/>
              <w:bottom w:val="single" w:sz="2" w:space="0" w:color="6D6E71"/>
              <w:right w:val="single" w:sz="2" w:space="0" w:color="58595B"/>
            </w:tcBorders>
            <w:shd w:val="clear" w:color="auto" w:fill="27467D"/>
          </w:tcPr>
          <w:p w14:paraId="5B8849CD" w14:textId="1B8F2681" w:rsidR="003D33EB" w:rsidRPr="002C0F0A" w:rsidRDefault="003D33EB" w:rsidP="002C0F0A">
            <w:pPr>
              <w:adjustRightInd w:val="0"/>
              <w:ind w:leftChars="-50" w:left="-105" w:rightChars="-50" w:right="-105"/>
              <w:jc w:val="center"/>
              <w:rPr>
                <w:rFonts w:ascii="ＭＳ ゴシック" w:eastAsia="ＭＳ ゴシック" w:hAnsi="ＭＳ ゴシック" w:cs="A-OTF ゴシックMB101 Pro L"/>
                <w:szCs w:val="21"/>
              </w:rPr>
            </w:pPr>
            <w:r w:rsidRPr="002C0F0A">
              <w:rPr>
                <w:rFonts w:ascii="ＭＳ ゴシック" w:eastAsia="ＭＳ ゴシック" w:hAnsi="ＭＳ ゴシック" w:cs="A-OTF ゴシックMB101 Pro L"/>
                <w:color w:val="FFFFFF"/>
                <w:position w:val="-2"/>
                <w:szCs w:val="21"/>
              </w:rPr>
              <w:t>項</w:t>
            </w:r>
            <w:r w:rsidRPr="002C0F0A">
              <w:rPr>
                <w:rFonts w:ascii="ＭＳ ゴシック" w:eastAsia="ＭＳ ゴシック" w:hAnsi="ＭＳ ゴシック" w:cs="A-OTF ゴシックMB101 Pro L"/>
                <w:color w:val="FFFFFF"/>
                <w:w w:val="103"/>
                <w:position w:val="-2"/>
                <w:szCs w:val="21"/>
              </w:rPr>
              <w:t>目</w:t>
            </w:r>
          </w:p>
        </w:tc>
        <w:tc>
          <w:tcPr>
            <w:tcW w:w="3116" w:type="dxa"/>
            <w:tcBorders>
              <w:top w:val="single" w:sz="2" w:space="0" w:color="58595B"/>
              <w:left w:val="single" w:sz="2" w:space="0" w:color="58595B"/>
              <w:bottom w:val="single" w:sz="2" w:space="0" w:color="6D6E71"/>
              <w:right w:val="single" w:sz="2" w:space="0" w:color="58595B"/>
            </w:tcBorders>
            <w:shd w:val="clear" w:color="auto" w:fill="27467D"/>
          </w:tcPr>
          <w:p w14:paraId="16843044" w14:textId="5DC4D0B8" w:rsidR="003D33EB" w:rsidRPr="002C0F0A" w:rsidRDefault="003D33EB" w:rsidP="002C0F0A">
            <w:pPr>
              <w:adjustRightInd w:val="0"/>
              <w:ind w:leftChars="-50" w:left="-105" w:rightChars="-50" w:right="-105"/>
              <w:jc w:val="center"/>
              <w:rPr>
                <w:rFonts w:ascii="ＭＳ ゴシック" w:eastAsia="ＭＳ ゴシック" w:hAnsi="ＭＳ ゴシック" w:cs="Adobe Song Std L"/>
                <w:szCs w:val="21"/>
              </w:rPr>
            </w:pPr>
            <w:r w:rsidRPr="002C0F0A">
              <w:rPr>
                <w:rFonts w:ascii="ＭＳ ゴシック" w:eastAsia="ＭＳ ゴシック" w:hAnsi="ＭＳ ゴシック" w:cs="Adobe Song Std L"/>
                <w:color w:val="FFFFFF"/>
                <w:w w:val="103"/>
                <w:szCs w:val="21"/>
              </w:rPr>
              <w:t>観点</w:t>
            </w:r>
          </w:p>
        </w:tc>
        <w:tc>
          <w:tcPr>
            <w:tcW w:w="7087" w:type="dxa"/>
            <w:tcBorders>
              <w:top w:val="single" w:sz="2" w:space="0" w:color="58595B"/>
              <w:left w:val="single" w:sz="2" w:space="0" w:color="58595B"/>
              <w:bottom w:val="single" w:sz="2" w:space="0" w:color="6D6E71"/>
              <w:right w:val="single" w:sz="2" w:space="0" w:color="58595B"/>
            </w:tcBorders>
            <w:shd w:val="clear" w:color="auto" w:fill="27467D"/>
          </w:tcPr>
          <w:p w14:paraId="683C5EAB" w14:textId="628802FA" w:rsidR="003D33EB" w:rsidRPr="002C0F0A" w:rsidRDefault="003D33EB" w:rsidP="002C0F0A">
            <w:pPr>
              <w:adjustRightInd w:val="0"/>
              <w:ind w:leftChars="-50" w:left="-105" w:rightChars="-50" w:right="-105"/>
              <w:jc w:val="center"/>
              <w:rPr>
                <w:rFonts w:ascii="ＭＳ ゴシック" w:eastAsia="ＭＳ ゴシック" w:hAnsi="ＭＳ ゴシック" w:cs="Adobe Song Std L"/>
                <w:szCs w:val="21"/>
              </w:rPr>
            </w:pPr>
            <w:r w:rsidRPr="002C0F0A">
              <w:rPr>
                <w:rFonts w:ascii="ＭＳ ゴシック" w:eastAsia="ＭＳ ゴシック" w:hAnsi="ＭＳ ゴシック" w:cs="Adobe Song Std L"/>
                <w:color w:val="FFFFFF"/>
                <w:spacing w:val="16"/>
                <w:w w:val="103"/>
                <w:szCs w:val="21"/>
              </w:rPr>
              <w:t>内容の特</w:t>
            </w:r>
            <w:r w:rsidRPr="002C0F0A">
              <w:rPr>
                <w:rFonts w:ascii="ＭＳ ゴシック" w:eastAsia="ＭＳ ゴシック" w:hAnsi="ＭＳ ゴシック" w:cs="Adobe Song Std L"/>
                <w:color w:val="FFFFFF"/>
                <w:w w:val="103"/>
                <w:szCs w:val="21"/>
              </w:rPr>
              <w:t>色</w:t>
            </w:r>
          </w:p>
        </w:tc>
      </w:tr>
      <w:tr w:rsidR="005B3198" w:rsidRPr="002C0F0A" w14:paraId="2EE08739" w14:textId="31805C25" w:rsidTr="00676A01">
        <w:trPr>
          <w:cantSplit/>
        </w:trPr>
        <w:tc>
          <w:tcPr>
            <w:tcW w:w="567" w:type="dxa"/>
            <w:tcBorders>
              <w:top w:val="single" w:sz="2" w:space="0" w:color="6D6E71"/>
              <w:left w:val="single" w:sz="2" w:space="0" w:color="6D6E71"/>
              <w:bottom w:val="single" w:sz="2" w:space="0" w:color="6D6E71"/>
              <w:right w:val="single" w:sz="2" w:space="0" w:color="6D6E71"/>
            </w:tcBorders>
            <w:textDirection w:val="tbRlV"/>
            <w:vAlign w:val="center"/>
          </w:tcPr>
          <w:p w14:paraId="58C4ACF6" w14:textId="77777777" w:rsidR="005B3198" w:rsidRPr="002C0F0A" w:rsidRDefault="005B3198" w:rsidP="005B3198">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内容の選択・程度</w:t>
            </w:r>
          </w:p>
        </w:tc>
        <w:tc>
          <w:tcPr>
            <w:tcW w:w="3116" w:type="dxa"/>
            <w:tcBorders>
              <w:top w:val="single" w:sz="2" w:space="0" w:color="6D6E71"/>
              <w:left w:val="single" w:sz="2" w:space="0" w:color="6D6E71"/>
              <w:bottom w:val="single" w:sz="2" w:space="0" w:color="6D6E71"/>
              <w:right w:val="single" w:sz="2" w:space="0" w:color="6D6E71"/>
            </w:tcBorders>
          </w:tcPr>
          <w:p w14:paraId="0C2C31C9" w14:textId="38D2E418"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＊学習指導要領の教科の目標を達成するため必要な教材が適切に用意されているか。</w:t>
            </w:r>
          </w:p>
          <w:p w14:paraId="167EAC63" w14:textId="0D85340E"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＊基礎的・基本的事項の理解や習得のため適切な配慮がなされているか。</w:t>
            </w:r>
          </w:p>
          <w:p w14:paraId="14A80691" w14:textId="4A2AAD90"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＊発展的な学習内容の取り扱いに対する適切な配慮がなされているか。</w:t>
            </w:r>
          </w:p>
        </w:tc>
        <w:tc>
          <w:tcPr>
            <w:tcW w:w="7087" w:type="dxa"/>
            <w:tcBorders>
              <w:top w:val="single" w:sz="2" w:space="0" w:color="6D6E71"/>
              <w:left w:val="single" w:sz="2" w:space="0" w:color="6D6E71"/>
              <w:bottom w:val="single" w:sz="2" w:space="0" w:color="6D6E71"/>
              <w:right w:val="single" w:sz="2" w:space="0" w:color="6D6E71"/>
            </w:tcBorders>
          </w:tcPr>
          <w:p w14:paraId="535EC927" w14:textId="01F97036"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●基礎的・基本的な事項がコンパクトに網羅されている。また，例・例題と問のギャップをなくし，スムーズに授業が展開できるように工夫して編集されている。</w:t>
            </w:r>
          </w:p>
          <w:p w14:paraId="7657BD86" w14:textId="59528967"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●本文の問の末尾に節末問題と章末問題へのリンクマークが付され，追加問題が扱いやすくなるように工夫されている。</w:t>
            </w:r>
          </w:p>
          <w:p w14:paraId="3E55D5C9" w14:textId="35E2AA96"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●「１章　場合の数と確率」</w:t>
            </w:r>
            <w:r w:rsidR="007D5901">
              <w:rPr>
                <w:rFonts w:ascii="ＭＳ 明朝" w:eastAsia="ＭＳ 明朝" w:hAnsi="ＭＳ 明朝" w:cs="Adobe Song Std L" w:hint="eastAsia"/>
                <w:color w:val="000000" w:themeColor="text1"/>
                <w:szCs w:val="21"/>
              </w:rPr>
              <w:t>の</w:t>
            </w:r>
            <w:r w:rsidR="002529B1">
              <w:rPr>
                <w:rFonts w:ascii="ＭＳ 明朝" w:eastAsia="ＭＳ 明朝" w:hAnsi="ＭＳ 明朝" w:cs="Adobe Song Std L" w:hint="eastAsia"/>
                <w:color w:val="000000" w:themeColor="text1"/>
                <w:szCs w:val="21"/>
              </w:rPr>
              <w:t>前に</w:t>
            </w:r>
            <w:r w:rsidRPr="00C1378B">
              <w:rPr>
                <w:rFonts w:ascii="ＭＳ 明朝" w:eastAsia="ＭＳ 明朝" w:hAnsi="ＭＳ 明朝" w:cs="Adobe Song Std L"/>
                <w:color w:val="000000" w:themeColor="text1"/>
                <w:szCs w:val="21"/>
              </w:rPr>
              <w:t>，集合の基本的な用語や性質を一通り扱っている資料があり，数学Ⅰの集合の履修との関連に配慮されている。(p.8～17）</w:t>
            </w:r>
          </w:p>
          <w:p w14:paraId="16F40AF0" w14:textId="17A96A50" w:rsidR="005B3198"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●「２章　図形の性質」チェバの定理では，三角形の性質をもとに，面積比と線分比を用いてチェバの定理が成り立つことを丁寧に導いており，既習の図形の性質に着目して新たな図形の性質が見いだせるように工夫されている。（p.91～92）</w:t>
            </w:r>
          </w:p>
          <w:p w14:paraId="25E720C2" w14:textId="64F5E70C" w:rsidR="005B3198" w:rsidRPr="00C1378B" w:rsidRDefault="009E60A3" w:rsidP="002529B1">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w:t>
            </w:r>
            <w:r w:rsidR="00C2754F" w:rsidRPr="00C1378B">
              <w:rPr>
                <w:rFonts w:ascii="ＭＳ 明朝" w:eastAsia="ＭＳ 明朝" w:hAnsi="ＭＳ 明朝" w:cs="Adobe Song Std L"/>
                <w:color w:val="000000" w:themeColor="text1"/>
                <w:szCs w:val="21"/>
              </w:rPr>
              <w:t>「</w:t>
            </w:r>
            <w:r w:rsidR="00C2754F">
              <w:rPr>
                <w:rFonts w:ascii="ＭＳ 明朝" w:eastAsia="ＭＳ 明朝" w:hAnsi="ＭＳ 明朝" w:cs="Adobe Song Std L" w:hint="eastAsia"/>
                <w:color w:val="000000" w:themeColor="text1"/>
                <w:szCs w:val="21"/>
              </w:rPr>
              <w:t>３</w:t>
            </w:r>
            <w:r w:rsidR="00C2754F" w:rsidRPr="00C1378B">
              <w:rPr>
                <w:rFonts w:ascii="ＭＳ 明朝" w:eastAsia="ＭＳ 明朝" w:hAnsi="ＭＳ 明朝" w:cs="Adobe Song Std L"/>
                <w:color w:val="000000" w:themeColor="text1"/>
                <w:szCs w:val="21"/>
              </w:rPr>
              <w:t xml:space="preserve">章　</w:t>
            </w:r>
            <w:r w:rsidR="00C2754F">
              <w:rPr>
                <w:rFonts w:ascii="ＭＳ 明朝" w:eastAsia="ＭＳ 明朝" w:hAnsi="ＭＳ 明朝" w:cs="Adobe Song Std L" w:hint="eastAsia"/>
                <w:color w:val="000000" w:themeColor="text1"/>
                <w:szCs w:val="21"/>
              </w:rPr>
              <w:t>数学と人間の活動</w:t>
            </w:r>
            <w:r w:rsidR="00C2754F" w:rsidRPr="00C1378B">
              <w:rPr>
                <w:rFonts w:ascii="ＭＳ 明朝" w:eastAsia="ＭＳ 明朝" w:hAnsi="ＭＳ 明朝" w:cs="Adobe Song Std L"/>
                <w:color w:val="000000" w:themeColor="text1"/>
                <w:szCs w:val="21"/>
              </w:rPr>
              <w:t>」</w:t>
            </w:r>
            <w:r w:rsidR="007D5901">
              <w:rPr>
                <w:rFonts w:ascii="ＭＳ 明朝" w:eastAsia="ＭＳ 明朝" w:hAnsi="ＭＳ 明朝" w:cs="Adobe Song Std L" w:hint="eastAsia"/>
                <w:color w:val="000000" w:themeColor="text1"/>
                <w:szCs w:val="21"/>
              </w:rPr>
              <w:t>の「</w:t>
            </w:r>
            <w:r>
              <w:rPr>
                <w:rFonts w:ascii="ＭＳ 明朝" w:eastAsia="ＭＳ 明朝" w:hAnsi="ＭＳ 明朝" w:cs="Adobe Song Std L" w:hint="eastAsia"/>
                <w:color w:val="000000" w:themeColor="text1"/>
                <w:szCs w:val="21"/>
              </w:rPr>
              <w:t>１節</w:t>
            </w:r>
            <w:r w:rsidR="007D5901">
              <w:rPr>
                <w:rFonts w:ascii="ＭＳ 明朝" w:eastAsia="ＭＳ 明朝" w:hAnsi="ＭＳ 明朝" w:cs="Adobe Song Std L" w:hint="eastAsia"/>
                <w:color w:val="000000" w:themeColor="text1"/>
                <w:szCs w:val="21"/>
              </w:rPr>
              <w:t xml:space="preserve">　</w:t>
            </w:r>
            <w:r>
              <w:rPr>
                <w:rFonts w:ascii="ＭＳ 明朝" w:eastAsia="ＭＳ 明朝" w:hAnsi="ＭＳ 明朝" w:cs="Adobe Song Std L" w:hint="eastAsia"/>
                <w:color w:val="000000" w:themeColor="text1"/>
                <w:szCs w:val="21"/>
              </w:rPr>
              <w:t>数える</w:t>
            </w:r>
            <w:r w:rsidR="007D5901">
              <w:rPr>
                <w:rFonts w:ascii="ＭＳ 明朝" w:eastAsia="ＭＳ 明朝" w:hAnsi="ＭＳ 明朝" w:cs="Adobe Song Std L" w:hint="eastAsia"/>
                <w:color w:val="000000" w:themeColor="text1"/>
                <w:szCs w:val="21"/>
              </w:rPr>
              <w:t>」</w:t>
            </w:r>
            <w:r>
              <w:rPr>
                <w:rFonts w:ascii="ＭＳ 明朝" w:eastAsia="ＭＳ 明朝" w:hAnsi="ＭＳ 明朝" w:cs="Adobe Song Std L" w:hint="eastAsia"/>
                <w:color w:val="000000" w:themeColor="text1"/>
                <w:szCs w:val="21"/>
              </w:rPr>
              <w:t>では，古代の記数法を取り上げ，現在の記数法と比較・考察することによって，現在の記数法について計算の利便性や優位性などに気付かせるとともに数学と人間の生活の関わりについて学ぶことができるように</w:t>
            </w:r>
            <w:r w:rsidR="00C2754F" w:rsidRPr="00C1378B">
              <w:rPr>
                <w:rFonts w:ascii="ＭＳ 明朝" w:eastAsia="ＭＳ 明朝" w:hAnsi="ＭＳ 明朝" w:cs="Adobe Song Std L"/>
                <w:color w:val="000000" w:themeColor="text1"/>
                <w:szCs w:val="21"/>
              </w:rPr>
              <w:t>工夫されている。（p.</w:t>
            </w:r>
            <w:r>
              <w:rPr>
                <w:rFonts w:ascii="ＭＳ 明朝" w:eastAsia="ＭＳ 明朝" w:hAnsi="ＭＳ 明朝" w:cs="Adobe Song Std L" w:hint="eastAsia"/>
                <w:color w:val="000000" w:themeColor="text1"/>
                <w:szCs w:val="21"/>
              </w:rPr>
              <w:t>12</w:t>
            </w:r>
            <w:r w:rsidR="00C2754F" w:rsidRPr="00C1378B">
              <w:rPr>
                <w:rFonts w:ascii="ＭＳ 明朝" w:eastAsia="ＭＳ 明朝" w:hAnsi="ＭＳ 明朝" w:cs="Adobe Song Std L"/>
                <w:color w:val="000000" w:themeColor="text1"/>
                <w:szCs w:val="21"/>
              </w:rPr>
              <w:t>9</w:t>
            </w:r>
            <w:bookmarkStart w:id="0" w:name="_GoBack"/>
            <w:bookmarkEnd w:id="0"/>
            <w:r w:rsidR="00C2754F" w:rsidRPr="00C1378B">
              <w:rPr>
                <w:rFonts w:ascii="ＭＳ 明朝" w:eastAsia="ＭＳ 明朝" w:hAnsi="ＭＳ 明朝" w:cs="Adobe Song Std L"/>
                <w:color w:val="000000" w:themeColor="text1"/>
                <w:szCs w:val="21"/>
              </w:rPr>
              <w:t>～</w:t>
            </w:r>
            <w:r>
              <w:rPr>
                <w:rFonts w:ascii="ＭＳ 明朝" w:eastAsia="ＭＳ 明朝" w:hAnsi="ＭＳ 明朝" w:cs="Adobe Song Std L" w:hint="eastAsia"/>
                <w:color w:val="000000" w:themeColor="text1"/>
                <w:szCs w:val="21"/>
              </w:rPr>
              <w:t>13</w:t>
            </w:r>
            <w:r w:rsidR="00C2754F" w:rsidRPr="00C1378B">
              <w:rPr>
                <w:rFonts w:ascii="ＭＳ 明朝" w:eastAsia="ＭＳ 明朝" w:hAnsi="ＭＳ 明朝" w:cs="Adobe Song Std L"/>
                <w:color w:val="000000" w:themeColor="text1"/>
                <w:szCs w:val="21"/>
              </w:rPr>
              <w:t>2）</w:t>
            </w:r>
          </w:p>
        </w:tc>
      </w:tr>
      <w:tr w:rsidR="005B3198" w:rsidRPr="002C0F0A" w14:paraId="02D08B93" w14:textId="72477F84" w:rsidTr="00676A01">
        <w:trPr>
          <w:cantSplit/>
        </w:trPr>
        <w:tc>
          <w:tcPr>
            <w:tcW w:w="567" w:type="dxa"/>
            <w:tcBorders>
              <w:top w:val="single" w:sz="2" w:space="0" w:color="6D6E71"/>
              <w:left w:val="single" w:sz="2" w:space="0" w:color="6D6E71"/>
              <w:bottom w:val="single" w:sz="2" w:space="0" w:color="6D6E71"/>
              <w:right w:val="single" w:sz="2" w:space="0" w:color="6D6E71"/>
            </w:tcBorders>
            <w:shd w:val="clear" w:color="auto" w:fill="BFCFEB"/>
            <w:textDirection w:val="tbRlV"/>
            <w:vAlign w:val="center"/>
          </w:tcPr>
          <w:p w14:paraId="667564E8" w14:textId="77777777" w:rsidR="005B3198" w:rsidRPr="002C0F0A" w:rsidRDefault="005B3198" w:rsidP="005B3198">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組織・配列・分量</w:t>
            </w:r>
          </w:p>
        </w:tc>
        <w:tc>
          <w:tcPr>
            <w:tcW w:w="3116" w:type="dxa"/>
            <w:tcBorders>
              <w:top w:val="single" w:sz="2" w:space="0" w:color="6D6E71"/>
              <w:left w:val="single" w:sz="2" w:space="0" w:color="6D6E71"/>
              <w:bottom w:val="single" w:sz="2" w:space="0" w:color="6D6E71"/>
              <w:right w:val="single" w:sz="2" w:space="0" w:color="6D6E71"/>
            </w:tcBorders>
            <w:shd w:val="clear" w:color="auto" w:fill="BFCFEB"/>
          </w:tcPr>
          <w:p w14:paraId="40ACF378" w14:textId="43C23156"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＊内容の組織・配列は，学習指導を有効に進められるように考慮されているか。</w:t>
            </w:r>
          </w:p>
          <w:p w14:paraId="46051E9B" w14:textId="0BEB8B49"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＊分量は学習指導を有効に進められるように考慮され，精選されているか。</w:t>
            </w:r>
          </w:p>
          <w:p w14:paraId="4D73FC3F" w14:textId="664B173B"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＊中高の接続に対する配慮がなされているか。</w:t>
            </w:r>
          </w:p>
          <w:p w14:paraId="75A0D1DA" w14:textId="69C7169C"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＊弾力的な取り扱いに対する配慮がなされているか。</w:t>
            </w:r>
          </w:p>
        </w:tc>
        <w:tc>
          <w:tcPr>
            <w:tcW w:w="7087" w:type="dxa"/>
            <w:tcBorders>
              <w:top w:val="single" w:sz="2" w:space="0" w:color="6D6E71"/>
              <w:left w:val="single" w:sz="2" w:space="0" w:color="6D6E71"/>
              <w:bottom w:val="single" w:sz="2" w:space="0" w:color="6D6E71"/>
              <w:right w:val="single" w:sz="2" w:space="0" w:color="6D6E71"/>
            </w:tcBorders>
            <w:shd w:val="clear" w:color="auto" w:fill="BFCFEB"/>
          </w:tcPr>
          <w:p w14:paraId="14300FDD" w14:textId="75700C18"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●学習指導要領に示された「内容」と「内容の取扱い」に準拠していて，生徒の実態に即した必要かつ十分な内容が適切に組織・配列されている。</w:t>
            </w:r>
          </w:p>
          <w:p w14:paraId="12DD54F3" w14:textId="668CE136"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●考察→例・例題→問→節末問題→章末問題の順に，段階を追って一定レベルの問題が過不足なく取り上げられており，その分量も適切である。</w:t>
            </w:r>
          </w:p>
          <w:p w14:paraId="5010A294" w14:textId="45A8D56B"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章のはじめに既習事項を活用しながら章の学習のきっかけとなる探究活動ができるコーナーがあり，関連した中学校の内容を振り返りつつ新たな課題に対して興味や関心を高めて取り組むことができように工夫がされている。</w:t>
            </w:r>
          </w:p>
          <w:p w14:paraId="2939D95D" w14:textId="15C05D07"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●巻末には，「中学校で学んだ基本事項」として，数学</w:t>
            </w:r>
            <w:r w:rsidR="009E60A3">
              <w:rPr>
                <w:rFonts w:ascii="ＭＳ 明朝" w:eastAsia="ＭＳ 明朝" w:hAnsi="ＭＳ 明朝" w:cs="Adobe Song Std L" w:hint="eastAsia"/>
                <w:color w:val="000000" w:themeColor="text1"/>
                <w:szCs w:val="21"/>
              </w:rPr>
              <w:t>Ａ</w:t>
            </w:r>
            <w:r w:rsidRPr="00C1378B">
              <w:rPr>
                <w:rFonts w:ascii="ＭＳ 明朝" w:eastAsia="ＭＳ 明朝" w:hAnsi="ＭＳ 明朝" w:cs="Adobe Song Std L"/>
                <w:color w:val="000000" w:themeColor="text1"/>
                <w:szCs w:val="21"/>
              </w:rPr>
              <w:t>に関連する中学校の学習内容がコンパクトにまとめられている。</w:t>
            </w:r>
          </w:p>
          <w:p w14:paraId="63FD2DBD" w14:textId="15FF6604"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●難易度の高い例題は，「チャレンジ」として掲載され，学習進度に合わせて扱えるように配慮されている。</w:t>
            </w:r>
          </w:p>
        </w:tc>
      </w:tr>
      <w:tr w:rsidR="005B3198" w:rsidRPr="002C0F0A" w14:paraId="0190FB83" w14:textId="134720AF" w:rsidTr="00676A01">
        <w:trPr>
          <w:cantSplit/>
        </w:trPr>
        <w:tc>
          <w:tcPr>
            <w:tcW w:w="567" w:type="dxa"/>
            <w:tcBorders>
              <w:top w:val="single" w:sz="2" w:space="0" w:color="6D6E71"/>
              <w:left w:val="single" w:sz="2" w:space="0" w:color="6D6E71"/>
              <w:bottom w:val="single" w:sz="2" w:space="0" w:color="6D6E71"/>
              <w:right w:val="single" w:sz="2" w:space="0" w:color="6D6E71"/>
            </w:tcBorders>
            <w:tcMar>
              <w:left w:w="0" w:type="dxa"/>
              <w:right w:w="0" w:type="dxa"/>
            </w:tcMar>
            <w:textDirection w:val="tbRlV"/>
            <w:vAlign w:val="center"/>
          </w:tcPr>
          <w:p w14:paraId="251F7E8E" w14:textId="77777777" w:rsidR="005B3198" w:rsidRDefault="005B3198" w:rsidP="00110BE9">
            <w:pPr>
              <w:adjustRightInd w:val="0"/>
              <w:snapToGrid w:val="0"/>
              <w:ind w:leftChars="300" w:left="630"/>
              <w:rPr>
                <w:rFonts w:ascii="ＭＳ Ｐゴシック" w:eastAsia="ＭＳ Ｐゴシック" w:hAnsi="ＭＳ Ｐゴシック" w:cs="Adobe Song Std L"/>
                <w:color w:val="231F20"/>
                <w:w w:val="101"/>
                <w:szCs w:val="21"/>
              </w:rPr>
            </w:pPr>
            <w:r w:rsidRPr="002C0F0A">
              <w:rPr>
                <w:rFonts w:ascii="ＭＳ Ｐゴシック" w:eastAsia="ＭＳ Ｐゴシック" w:hAnsi="ＭＳ Ｐゴシック" w:cs="Adobe Song Std L"/>
                <w:color w:val="231F20"/>
                <w:w w:val="101"/>
                <w:szCs w:val="21"/>
              </w:rPr>
              <w:lastRenderedPageBreak/>
              <w:t>表記・表現及び指導に対する</w:t>
            </w:r>
          </w:p>
          <w:p w14:paraId="158726B3" w14:textId="156D81F6" w:rsidR="005B3198" w:rsidRPr="002C0F0A" w:rsidRDefault="005B3198" w:rsidP="005B3198">
            <w:pPr>
              <w:adjustRightInd w:val="0"/>
              <w:snapToGrid w:val="0"/>
              <w:ind w:leftChars="300" w:left="630"/>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工夫や配慮</w:t>
            </w:r>
          </w:p>
        </w:tc>
        <w:tc>
          <w:tcPr>
            <w:tcW w:w="3116" w:type="dxa"/>
            <w:tcBorders>
              <w:top w:val="single" w:sz="2" w:space="0" w:color="6D6E71"/>
              <w:left w:val="single" w:sz="2" w:space="0" w:color="6D6E71"/>
              <w:bottom w:val="single" w:sz="2" w:space="0" w:color="6D6E71"/>
              <w:right w:val="single" w:sz="2" w:space="0" w:color="6D6E71"/>
            </w:tcBorders>
          </w:tcPr>
          <w:p w14:paraId="7CE45F84" w14:textId="46FE6C8C"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＊学習意欲を高めるための配慮がなされているか。</w:t>
            </w:r>
          </w:p>
          <w:p w14:paraId="60314E87" w14:textId="29971C77"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＊用語・記号の取り上げ方や記述のしかたは適切か。</w:t>
            </w:r>
          </w:p>
          <w:p w14:paraId="5E9E6962" w14:textId="252BC066"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＊生徒の自学自習への配慮や工夫がなされているか。</w:t>
            </w:r>
          </w:p>
          <w:p w14:paraId="7E3DB45B" w14:textId="1A80C141"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＊指導書や周辺教材での工夫や配慮がなされているか。</w:t>
            </w:r>
          </w:p>
        </w:tc>
        <w:tc>
          <w:tcPr>
            <w:tcW w:w="7087" w:type="dxa"/>
            <w:tcBorders>
              <w:top w:val="single" w:sz="2" w:space="0" w:color="6D6E71"/>
              <w:left w:val="single" w:sz="2" w:space="0" w:color="6D6E71"/>
              <w:bottom w:val="single" w:sz="2" w:space="0" w:color="6D6E71"/>
              <w:right w:val="single" w:sz="2" w:space="0" w:color="6D6E71"/>
            </w:tcBorders>
          </w:tcPr>
          <w:p w14:paraId="28864553" w14:textId="79104CEC"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●全編を通して本文の理解を助けるように，イラスト，写真，図が適切に用いられている。</w:t>
            </w:r>
          </w:p>
          <w:p w14:paraId="421E50A7" w14:textId="77777777"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●必要に応じて色を使い，視覚的な内容理解ができるよう配慮されている。</w:t>
            </w:r>
          </w:p>
          <w:p w14:paraId="2008E5CB" w14:textId="77777777"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●用語・記号は統一されており，記述の仕方も適切である。</w:t>
            </w:r>
          </w:p>
          <w:p w14:paraId="10646F65" w14:textId="0163FEE3"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●節末問題に教科書本文の対応ページが付されており，振り返り学習ができるように工夫されている。</w:t>
            </w:r>
          </w:p>
          <w:p w14:paraId="78123694" w14:textId="7435F565"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●教科書を支援する指導書や周辺教材などが充実しており，指導しやすい教科書である。</w:t>
            </w:r>
          </w:p>
          <w:p w14:paraId="4C5204DA" w14:textId="5258847D" w:rsidR="005B3198" w:rsidRPr="00C1378B" w:rsidRDefault="005B3198" w:rsidP="00C9285C">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●ICT機器を利用すると効果的な箇所に</w:t>
            </w:r>
            <w:r w:rsidR="00C9285C">
              <w:rPr>
                <w:rFonts w:ascii="ＭＳ 明朝" w:eastAsia="ＭＳ 明朝" w:hAnsi="ＭＳ 明朝" w:cs="Adobe Song Std L" w:hint="eastAsia"/>
                <w:color w:val="000000" w:themeColor="text1"/>
                <w:szCs w:val="21"/>
              </w:rPr>
              <w:t>Q</w:t>
            </w:r>
            <w:r w:rsidR="00C9285C">
              <w:rPr>
                <w:rFonts w:ascii="ＭＳ 明朝" w:eastAsia="ＭＳ 明朝" w:hAnsi="ＭＳ 明朝" w:cs="Adobe Song Std L"/>
                <w:color w:val="000000" w:themeColor="text1"/>
                <w:szCs w:val="21"/>
              </w:rPr>
              <w:t>R</w:t>
            </w:r>
            <w:r w:rsidRPr="00C1378B">
              <w:rPr>
                <w:rFonts w:ascii="ＭＳ 明朝" w:eastAsia="ＭＳ 明朝" w:hAnsi="ＭＳ 明朝" w:cs="Adobe Song Std L"/>
                <w:color w:val="000000" w:themeColor="text1"/>
                <w:szCs w:val="21"/>
              </w:rPr>
              <w:t>コンテンツが用意されており，生徒が柔軟に学習を進めることができるように配慮されている。</w:t>
            </w:r>
          </w:p>
        </w:tc>
      </w:tr>
      <w:tr w:rsidR="005B3198" w:rsidRPr="002C0F0A" w14:paraId="7813244F" w14:textId="4606CFD1" w:rsidTr="00676A01">
        <w:trPr>
          <w:cantSplit/>
        </w:trPr>
        <w:tc>
          <w:tcPr>
            <w:tcW w:w="567" w:type="dxa"/>
            <w:tcBorders>
              <w:top w:val="single" w:sz="2" w:space="0" w:color="6D6E71"/>
              <w:left w:val="single" w:sz="2" w:space="0" w:color="6D6E71"/>
              <w:bottom w:val="single" w:sz="2" w:space="0" w:color="6D6E71"/>
              <w:right w:val="single" w:sz="2" w:space="0" w:color="6D6E71"/>
            </w:tcBorders>
            <w:shd w:val="clear" w:color="auto" w:fill="BFCFEB"/>
            <w:textDirection w:val="tbRlV"/>
            <w:vAlign w:val="center"/>
          </w:tcPr>
          <w:p w14:paraId="320D7BAD" w14:textId="775F5E0C" w:rsidR="005B3198" w:rsidRPr="002C0F0A" w:rsidRDefault="005B3198" w:rsidP="005B3198">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印刷・造本上の</w:t>
            </w:r>
            <w:r>
              <w:rPr>
                <w:rFonts w:ascii="ＭＳ Ｐゴシック" w:eastAsia="ＭＳ Ｐゴシック" w:hAnsi="ＭＳ Ｐゴシック" w:cs="Adobe Song Std L" w:hint="eastAsia"/>
                <w:color w:val="231F20"/>
                <w:w w:val="101"/>
                <w:szCs w:val="21"/>
              </w:rPr>
              <w:t>配慮</w:t>
            </w:r>
          </w:p>
        </w:tc>
        <w:tc>
          <w:tcPr>
            <w:tcW w:w="3116" w:type="dxa"/>
            <w:tcBorders>
              <w:top w:val="single" w:sz="2" w:space="0" w:color="6D6E71"/>
              <w:left w:val="single" w:sz="2" w:space="0" w:color="6D6E71"/>
              <w:bottom w:val="single" w:sz="2" w:space="0" w:color="6D6E71"/>
              <w:right w:val="single" w:sz="2" w:space="0" w:color="6D6E71"/>
            </w:tcBorders>
            <w:shd w:val="clear" w:color="auto" w:fill="BFCFEB"/>
          </w:tcPr>
          <w:p w14:paraId="4A4E6055" w14:textId="6E98D604"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＊印刷の鮮明さ，活字の大きさ，行間，製本などは適切か。</w:t>
            </w:r>
          </w:p>
          <w:p w14:paraId="3BD282F8" w14:textId="78575242"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＊環境保全や生徒の多様な特性に配慮がなされているか。</w:t>
            </w:r>
          </w:p>
        </w:tc>
        <w:tc>
          <w:tcPr>
            <w:tcW w:w="7087" w:type="dxa"/>
            <w:tcBorders>
              <w:top w:val="single" w:sz="2" w:space="0" w:color="6D6E71"/>
              <w:left w:val="single" w:sz="2" w:space="0" w:color="6D6E71"/>
              <w:bottom w:val="single" w:sz="2" w:space="0" w:color="6D6E71"/>
              <w:right w:val="single" w:sz="2" w:space="0" w:color="6D6E71"/>
            </w:tcBorders>
            <w:shd w:val="clear" w:color="auto" w:fill="BFCFEB"/>
          </w:tcPr>
          <w:p w14:paraId="1F8195AF" w14:textId="77777777"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●活字はユニバーサルデザインで美しく，写真，挿し絵も鮮明で効果的である。</w:t>
            </w:r>
          </w:p>
          <w:p w14:paraId="4958189D" w14:textId="77777777"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●製本は堅牢で，開きやすい様式である。</w:t>
            </w:r>
          </w:p>
          <w:p w14:paraId="53B52829" w14:textId="6D016E46"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●図やグラフの色使いなど，色覚特性への配慮を含むユニバーサルデザインとなっており，全ページにわたって配色を工夫するなど，だれもが見やすい紙面になっている。</w:t>
            </w:r>
          </w:p>
          <w:p w14:paraId="154AF7DA" w14:textId="230188A0"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●本文の用紙には再生紙と植物油インキを使用し，印刷業界団体が定めた環境配慮基準を満たす「グリーンプリンティング設定工場」で印刷するなど，地球環境や資源に及ぼす影響も考慮されている。</w:t>
            </w:r>
          </w:p>
        </w:tc>
      </w:tr>
      <w:tr w:rsidR="005B3198" w:rsidRPr="002C0F0A" w14:paraId="558625F4" w14:textId="7A170A24" w:rsidTr="003D33EB">
        <w:trPr>
          <w:cantSplit/>
        </w:trPr>
        <w:tc>
          <w:tcPr>
            <w:tcW w:w="567" w:type="dxa"/>
            <w:tcBorders>
              <w:top w:val="single" w:sz="2" w:space="0" w:color="6D6E71"/>
              <w:left w:val="single" w:sz="2" w:space="0" w:color="6D6E71"/>
              <w:bottom w:val="single" w:sz="2" w:space="0" w:color="6D6E71"/>
              <w:right w:val="single" w:sz="2" w:space="0" w:color="6D6E71"/>
            </w:tcBorders>
            <w:textDirection w:val="tbRlV"/>
            <w:vAlign w:val="center"/>
          </w:tcPr>
          <w:p w14:paraId="652A6D65" w14:textId="77777777" w:rsidR="005B3198" w:rsidRPr="002C0F0A" w:rsidRDefault="005B3198" w:rsidP="005B3198">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総合所見</w:t>
            </w:r>
          </w:p>
        </w:tc>
        <w:tc>
          <w:tcPr>
            <w:tcW w:w="3116" w:type="dxa"/>
            <w:tcBorders>
              <w:top w:val="single" w:sz="2" w:space="0" w:color="6D6E71"/>
              <w:left w:val="single" w:sz="2" w:space="0" w:color="6D6E71"/>
              <w:bottom w:val="single" w:sz="2" w:space="0" w:color="6D6E71"/>
              <w:right w:val="single" w:sz="2" w:space="0" w:color="6D6E71"/>
            </w:tcBorders>
          </w:tcPr>
          <w:p w14:paraId="27B398C1" w14:textId="53F79196"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＊上記観点から見た，全体的・総合的な当教科書の特徴</w:t>
            </w:r>
          </w:p>
        </w:tc>
        <w:tc>
          <w:tcPr>
            <w:tcW w:w="7087" w:type="dxa"/>
            <w:tcBorders>
              <w:top w:val="single" w:sz="2" w:space="0" w:color="6D6E71"/>
              <w:left w:val="single" w:sz="2" w:space="0" w:color="6D6E71"/>
              <w:bottom w:val="single" w:sz="2" w:space="0" w:color="6D6E71"/>
              <w:right w:val="single" w:sz="2" w:space="0" w:color="6D6E71"/>
            </w:tcBorders>
          </w:tcPr>
          <w:p w14:paraId="2FF7EE85" w14:textId="389919B7"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教科目標達成に必要な学習事項・定番問題がコンパクトに網羅されていること，学習内容を表す小見出しを多用した内容のまとまりのよさ，具体例からの導入，内容理解を高めるための図解・色を使った説明など，生徒および指導者にとって効率的に学習効果があげられるように編集された教科書である。また，数学の楽しさが体感できるようにも工夫されている。</w:t>
            </w:r>
          </w:p>
        </w:tc>
      </w:tr>
    </w:tbl>
    <w:p w14:paraId="04BFC992" w14:textId="22607B29" w:rsidR="00D0453D" w:rsidRPr="003D33EB" w:rsidRDefault="003D33EB" w:rsidP="003D33EB">
      <w:pPr>
        <w:jc w:val="right"/>
        <w:rPr>
          <w:rFonts w:ascii="ＭＳ 明朝" w:eastAsia="ＭＳ 明朝" w:hAnsi="ＭＳ 明朝"/>
          <w:sz w:val="18"/>
          <w:szCs w:val="18"/>
        </w:rPr>
      </w:pPr>
      <w:r w:rsidRPr="003D33EB">
        <w:rPr>
          <w:rFonts w:ascii="ＭＳ 明朝" w:eastAsia="ＭＳ 明朝" w:hAnsi="ＭＳ 明朝" w:hint="eastAsia"/>
          <w:sz w:val="18"/>
          <w:szCs w:val="18"/>
        </w:rPr>
        <w:t>この資料は，一般社団法人教科書協会「教科書発行者行動規範」に</w:t>
      </w:r>
      <w:r w:rsidRPr="003D33EB">
        <w:rPr>
          <w:rFonts w:ascii="ＭＳ 明朝" w:eastAsia="ＭＳ 明朝" w:hAnsi="ＭＳ 明朝"/>
          <w:sz w:val="18"/>
          <w:szCs w:val="18"/>
        </w:rPr>
        <w:t>則っております。</w:t>
      </w:r>
    </w:p>
    <w:sectPr w:rsidR="00D0453D" w:rsidRPr="003D33EB" w:rsidSect="002C0F0A">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08F97" w14:textId="77777777" w:rsidR="00A22F29" w:rsidRDefault="00A22F29" w:rsidP="00E91010">
      <w:r>
        <w:separator/>
      </w:r>
    </w:p>
  </w:endnote>
  <w:endnote w:type="continuationSeparator" w:id="0">
    <w:p w14:paraId="55DE6C58" w14:textId="77777777" w:rsidR="00A22F29" w:rsidRDefault="00A22F29" w:rsidP="00E91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OTF ゴシックMB101 Pro L">
    <w:altName w:val="A-OTF ゴシックMB101 Pro L"/>
    <w:panose1 w:val="00000000000000000000"/>
    <w:charset w:val="80"/>
    <w:family w:val="swiss"/>
    <w:notTrueType/>
    <w:pitch w:val="variable"/>
    <w:sig w:usb0="A00002FF" w:usb1="68C7FEFF" w:usb2="00000012" w:usb3="00000000" w:csb0="00020005" w:csb1="00000000"/>
  </w:font>
  <w:font w:name="Adobe Song Std L">
    <w:altName w:val="Adobe Song Std L"/>
    <w:panose1 w:val="00000000000000000000"/>
    <w:charset w:val="80"/>
    <w:family w:val="roman"/>
    <w:notTrueType/>
    <w:pitch w:val="variable"/>
    <w:sig w:usb0="00000207" w:usb1="0A0F1810" w:usb2="00000016" w:usb3="00000000" w:csb0="00060007"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216D96" w14:textId="77777777" w:rsidR="00A22F29" w:rsidRDefault="00A22F29" w:rsidP="00E91010">
      <w:r>
        <w:separator/>
      </w:r>
    </w:p>
  </w:footnote>
  <w:footnote w:type="continuationSeparator" w:id="0">
    <w:p w14:paraId="68F89B57" w14:textId="77777777" w:rsidR="00A22F29" w:rsidRDefault="00A22F29" w:rsidP="00E910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F0A"/>
    <w:rsid w:val="00106A58"/>
    <w:rsid w:val="00110BE9"/>
    <w:rsid w:val="002529B1"/>
    <w:rsid w:val="00272764"/>
    <w:rsid w:val="0029523B"/>
    <w:rsid w:val="002C0F0A"/>
    <w:rsid w:val="00303B2D"/>
    <w:rsid w:val="00382D2E"/>
    <w:rsid w:val="003D33EB"/>
    <w:rsid w:val="005B3198"/>
    <w:rsid w:val="0061455A"/>
    <w:rsid w:val="006275DE"/>
    <w:rsid w:val="00676A01"/>
    <w:rsid w:val="007522B2"/>
    <w:rsid w:val="007B2E68"/>
    <w:rsid w:val="007B791E"/>
    <w:rsid w:val="007D5901"/>
    <w:rsid w:val="009E60A3"/>
    <w:rsid w:val="00A22F29"/>
    <w:rsid w:val="00A5537A"/>
    <w:rsid w:val="00B10B81"/>
    <w:rsid w:val="00BE6E66"/>
    <w:rsid w:val="00C1378B"/>
    <w:rsid w:val="00C2754F"/>
    <w:rsid w:val="00C63417"/>
    <w:rsid w:val="00C72AE0"/>
    <w:rsid w:val="00C9285C"/>
    <w:rsid w:val="00D0453D"/>
    <w:rsid w:val="00DA0F64"/>
    <w:rsid w:val="00DE3B6F"/>
    <w:rsid w:val="00E85E82"/>
    <w:rsid w:val="00E91010"/>
    <w:rsid w:val="00FC0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4ED260"/>
  <w15:chartTrackingRefBased/>
  <w15:docId w15:val="{57BAE198-2C58-49CD-B866-2EF0ADA2A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1010"/>
    <w:pPr>
      <w:tabs>
        <w:tab w:val="center" w:pos="4252"/>
        <w:tab w:val="right" w:pos="8504"/>
      </w:tabs>
      <w:snapToGrid w:val="0"/>
    </w:pPr>
  </w:style>
  <w:style w:type="character" w:customStyle="1" w:styleId="a4">
    <w:name w:val="ヘッダー (文字)"/>
    <w:basedOn w:val="a0"/>
    <w:link w:val="a3"/>
    <w:uiPriority w:val="99"/>
    <w:rsid w:val="00E91010"/>
  </w:style>
  <w:style w:type="paragraph" w:styleId="a5">
    <w:name w:val="footer"/>
    <w:basedOn w:val="a"/>
    <w:link w:val="a6"/>
    <w:uiPriority w:val="99"/>
    <w:unhideWhenUsed/>
    <w:rsid w:val="00E91010"/>
    <w:pPr>
      <w:tabs>
        <w:tab w:val="center" w:pos="4252"/>
        <w:tab w:val="right" w:pos="8504"/>
      </w:tabs>
      <w:snapToGrid w:val="0"/>
    </w:pPr>
  </w:style>
  <w:style w:type="character" w:customStyle="1" w:styleId="a6">
    <w:name w:val="フッター (文字)"/>
    <w:basedOn w:val="a0"/>
    <w:link w:val="a5"/>
    <w:uiPriority w:val="99"/>
    <w:rsid w:val="00E91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300</Words>
  <Characters>1716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 雅貴</dc:creator>
  <cp:keywords/>
  <dc:description/>
  <cp:lastModifiedBy>金子 雅貴</cp:lastModifiedBy>
  <cp:revision>3</cp:revision>
  <cp:lastPrinted>2025-02-27T02:26:00Z</cp:lastPrinted>
  <dcterms:created xsi:type="dcterms:W3CDTF">2022-03-22T05:44:00Z</dcterms:created>
  <dcterms:modified xsi:type="dcterms:W3CDTF">2025-02-27T02:26:00Z</dcterms:modified>
</cp:coreProperties>
</file>